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中国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新闻奖参评作品推荐表</w:t>
      </w:r>
    </w:p>
    <w:tbl>
      <w:tblPr>
        <w:tblStyle w:val="2"/>
        <w:tblW w:w="10516" w:type="dxa"/>
        <w:tblInd w:w="-8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"/>
        <w:gridCol w:w="1041"/>
        <w:gridCol w:w="1681"/>
        <w:gridCol w:w="387"/>
        <w:gridCol w:w="834"/>
        <w:gridCol w:w="75"/>
        <w:gridCol w:w="425"/>
        <w:gridCol w:w="509"/>
        <w:gridCol w:w="58"/>
        <w:gridCol w:w="426"/>
        <w:gridCol w:w="826"/>
        <w:gridCol w:w="733"/>
        <w:gridCol w:w="992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80" w:type="dxa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作品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标题</w:t>
            </w:r>
          </w:p>
        </w:tc>
        <w:tc>
          <w:tcPr>
            <w:tcW w:w="5436" w:type="dxa"/>
            <w:gridSpan w:val="9"/>
            <w:vAlign w:val="center"/>
          </w:tcPr>
          <w:p>
            <w:pPr>
              <w:spacing w:after="0" w:line="380" w:lineRule="exact"/>
              <w:jc w:val="both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“高薪招聘”变“高价买车”，必须破除虚假招聘的连环套</w:t>
            </w:r>
          </w:p>
          <w:p>
            <w:pPr>
              <w:spacing w:after="0" w:line="380" w:lineRule="exact"/>
              <w:ind w:firstLine="560"/>
              <w:jc w:val="center"/>
              <w:rPr>
                <w:rFonts w:hint="eastAsia" w:ascii="华文中宋" w:hAnsi="华文中宋" w:eastAsia="华文中宋" w:cs="Times New Roman"/>
                <w:sz w:val="28"/>
                <w:szCs w:val="32"/>
              </w:rPr>
            </w:pPr>
          </w:p>
        </w:tc>
        <w:tc>
          <w:tcPr>
            <w:tcW w:w="826" w:type="dxa"/>
            <w:vAlign w:val="center"/>
          </w:tcPr>
          <w:p>
            <w:pPr>
              <w:spacing w:after="0"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参评</w:t>
            </w:r>
          </w:p>
          <w:p>
            <w:pPr>
              <w:spacing w:after="0"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项目</w:t>
            </w:r>
          </w:p>
        </w:tc>
        <w:tc>
          <w:tcPr>
            <w:tcW w:w="3274" w:type="dxa"/>
            <w:gridSpan w:val="3"/>
            <w:vAlign w:val="center"/>
          </w:tcPr>
          <w:p>
            <w:pPr>
              <w:spacing w:after="0" w:line="240" w:lineRule="auto"/>
              <w:jc w:val="both"/>
              <w:rPr>
                <w:rFonts w:ascii="仿宋_GB2312" w:hAnsi="Times New Roman" w:eastAsia="方正仿宋_GBK" w:cs="Times New Roman"/>
                <w:color w:val="000000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广播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评论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980" w:type="dxa"/>
            <w:vMerge w:val="restart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字数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时长</w:t>
            </w:r>
          </w:p>
        </w:tc>
        <w:tc>
          <w:tcPr>
            <w:tcW w:w="5436" w:type="dxa"/>
            <w:gridSpan w:val="9"/>
            <w:vMerge w:val="restart"/>
            <w:vAlign w:val="center"/>
          </w:tcPr>
          <w:p>
            <w:pPr>
              <w:spacing w:after="0" w:line="380" w:lineRule="exact"/>
              <w:jc w:val="both"/>
              <w:rPr>
                <w:rFonts w:hint="eastAsia" w:ascii="华文中宋" w:hAnsi="华文中宋" w:eastAsia="华文中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分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12秒</w:t>
            </w:r>
          </w:p>
        </w:tc>
        <w:tc>
          <w:tcPr>
            <w:tcW w:w="826" w:type="dxa"/>
            <w:vAlign w:val="center"/>
          </w:tcPr>
          <w:p>
            <w:pPr>
              <w:spacing w:after="0"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体裁</w:t>
            </w:r>
          </w:p>
        </w:tc>
        <w:tc>
          <w:tcPr>
            <w:tcW w:w="3274" w:type="dxa"/>
            <w:gridSpan w:val="3"/>
            <w:vAlign w:val="center"/>
          </w:tcPr>
          <w:p>
            <w:pPr>
              <w:spacing w:after="0" w:line="260" w:lineRule="exact"/>
              <w:jc w:val="both"/>
              <w:rPr>
                <w:rFonts w:hint="eastAsia" w:ascii="仿宋_GB2312" w:hAnsi="仿宋" w:eastAsia="方正仿宋_GBK" w:cs="Times New Roman"/>
                <w:color w:val="00000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8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</w:p>
        </w:tc>
        <w:tc>
          <w:tcPr>
            <w:tcW w:w="5436" w:type="dxa"/>
            <w:gridSpan w:val="9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 w:line="380" w:lineRule="exact"/>
              <w:ind w:firstLine="560"/>
              <w:jc w:val="center"/>
              <w:rPr>
                <w:rFonts w:hint="eastAsia" w:ascii="华文中宋" w:hAnsi="华文中宋" w:eastAsia="华文中宋" w:cs="Times New Roman"/>
                <w:color w:val="000000"/>
                <w:sz w:val="21"/>
                <w:szCs w:val="21"/>
              </w:rPr>
            </w:pP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语种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eastAsia" w:ascii="仿宋" w:hAnsi="仿宋" w:eastAsia="宋体" w:cs="仿宋"/>
                <w:color w:val="000000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  <w:szCs w:val="32"/>
              </w:rPr>
              <w:t>作者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5436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after="0" w:line="260" w:lineRule="exact"/>
              <w:jc w:val="both"/>
              <w:rPr>
                <w:rFonts w:hint="eastAsia" w:ascii="华文中宋" w:hAnsi="华文中宋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武婧、孙雪梅、苗晓霞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包头市融媒体中心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）</w:t>
            </w: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编辑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260" w:lineRule="exact"/>
              <w:jc w:val="both"/>
              <w:rPr>
                <w:rFonts w:hint="eastAsia" w:ascii="仿宋" w:hAnsi="仿宋" w:eastAsia="仿宋" w:cs="仿宋"/>
                <w:color w:val="000000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武婧、孙雪梅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80" w:type="dxa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原创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单位</w:t>
            </w:r>
          </w:p>
        </w:tc>
        <w:tc>
          <w:tcPr>
            <w:tcW w:w="4443" w:type="dxa"/>
            <w:gridSpan w:val="6"/>
            <w:vAlign w:val="center"/>
          </w:tcPr>
          <w:p>
            <w:pPr>
              <w:spacing w:after="0" w:line="260" w:lineRule="exact"/>
              <w:jc w:val="both"/>
              <w:rPr>
                <w:rFonts w:hint="eastAsia" w:ascii="仿宋_GB2312" w:hAnsi="仿宋" w:eastAsia="方正仿宋_GBK" w:cs="Times New Roman"/>
                <w:color w:val="000000"/>
                <w:sz w:val="32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内蒙古广播电视台</w:t>
            </w:r>
          </w:p>
        </w:tc>
        <w:tc>
          <w:tcPr>
            <w:tcW w:w="1819" w:type="dxa"/>
            <w:gridSpan w:val="4"/>
            <w:vAlign w:val="center"/>
          </w:tcPr>
          <w:p>
            <w:pPr>
              <w:spacing w:after="0" w:line="260" w:lineRule="exact"/>
              <w:jc w:val="both"/>
              <w:rPr>
                <w:rFonts w:hint="eastAsia" w:ascii="华文中宋" w:hAnsi="华文中宋" w:eastAsia="华文中宋" w:cs="Times New Roman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after="0" w:line="260" w:lineRule="exact"/>
              <w:jc w:val="both"/>
              <w:rPr>
                <w:rFonts w:hint="eastAsia" w:ascii="仿宋_GB2312" w:hAnsi="仿宋" w:eastAsia="方正仿宋_GBK" w:cs="Times New Roman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vAlign w:val="center"/>
          </w:tcPr>
          <w:p>
            <w:pPr>
              <w:spacing w:after="0" w:line="260" w:lineRule="exact"/>
              <w:jc w:val="both"/>
              <w:rPr>
                <w:rFonts w:hint="eastAsia" w:ascii="仿宋_GB2312" w:hAnsi="仿宋" w:eastAsia="方正仿宋_GBK" w:cs="Times New Roman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内蒙古广播电视台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</w:trPr>
        <w:tc>
          <w:tcPr>
            <w:tcW w:w="2021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刊播版面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  <w:szCs w:val="21"/>
              </w:rPr>
              <w:t>(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Cs w:val="21"/>
              </w:rPr>
              <w:t>名称和版次)</w:t>
            </w:r>
          </w:p>
        </w:tc>
        <w:tc>
          <w:tcPr>
            <w:tcW w:w="2902" w:type="dxa"/>
            <w:gridSpan w:val="3"/>
            <w:vAlign w:val="center"/>
          </w:tcPr>
          <w:p>
            <w:pPr>
              <w:spacing w:after="0" w:line="260" w:lineRule="exact"/>
              <w:jc w:val="both"/>
              <w:rPr>
                <w:rFonts w:hint="eastAsia" w:ascii="仿宋_GB2312" w:hAnsi="仿宋" w:eastAsia="方正仿宋_GBK" w:cs="Times New Roman"/>
                <w:color w:val="000000"/>
                <w:sz w:val="32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新闻广播《纵横118》</w:t>
            </w:r>
          </w:p>
        </w:tc>
        <w:tc>
          <w:tcPr>
            <w:tcW w:w="1009" w:type="dxa"/>
            <w:gridSpan w:val="3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刊播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日期</w:t>
            </w:r>
          </w:p>
        </w:tc>
        <w:tc>
          <w:tcPr>
            <w:tcW w:w="4584" w:type="dxa"/>
            <w:gridSpan w:val="6"/>
            <w:vAlign w:val="center"/>
          </w:tcPr>
          <w:p>
            <w:pPr>
              <w:spacing w:after="0" w:line="260" w:lineRule="exact"/>
              <w:jc w:val="center"/>
              <w:rPr>
                <w:rFonts w:hint="eastAsia" w:ascii="仿宋_GB2312" w:hAnsi="仿宋" w:eastAsia="宋体" w:cs="Times New Roman"/>
                <w:color w:val="000000"/>
                <w:sz w:val="32"/>
                <w:szCs w:val="21"/>
                <w:lang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/>
                <w:sz w:val="24"/>
              </w:rPr>
              <w:t>2024年4月22日7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时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分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021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  <w:szCs w:val="21"/>
              </w:rPr>
              <w:t>新媒体作品</w:t>
            </w:r>
          </w:p>
          <w:p>
            <w:pPr>
              <w:spacing w:after="0" w:line="320" w:lineRule="exact"/>
              <w:jc w:val="center"/>
              <w:rPr>
                <w:rFonts w:hint="eastAsia" w:ascii="仿宋_GB2312" w:hAnsi="仿宋" w:eastAsia="方正仿宋_GBK" w:cs="Times New Roman"/>
                <w:color w:val="000000"/>
                <w:sz w:val="32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  <w:szCs w:val="21"/>
              </w:rPr>
              <w:t>网址</w:t>
            </w:r>
          </w:p>
        </w:tc>
        <w:tc>
          <w:tcPr>
            <w:tcW w:w="5221" w:type="dxa"/>
            <w:gridSpan w:val="9"/>
            <w:vAlign w:val="center"/>
          </w:tcPr>
          <w:p>
            <w:pPr>
              <w:spacing w:after="0" w:line="260" w:lineRule="exact"/>
              <w:jc w:val="both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</w:p>
        </w:tc>
        <w:tc>
          <w:tcPr>
            <w:tcW w:w="1725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  <w:szCs w:val="21"/>
              </w:rPr>
              <w:t>是否为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549" w:type="dxa"/>
            <w:vAlign w:val="center"/>
          </w:tcPr>
          <w:p>
            <w:pPr>
              <w:spacing w:after="0" w:line="260" w:lineRule="exact"/>
              <w:jc w:val="both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8" w:hRule="atLeast"/>
        </w:trPr>
        <w:tc>
          <w:tcPr>
            <w:tcW w:w="980" w:type="dxa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 xml:space="preserve">  ︵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采作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编品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过简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程介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 xml:space="preserve">  ︶</w:t>
            </w:r>
          </w:p>
        </w:tc>
        <w:tc>
          <w:tcPr>
            <w:tcW w:w="9536" w:type="dxa"/>
            <w:gridSpan w:val="13"/>
            <w:vAlign w:val="center"/>
          </w:tcPr>
          <w:p>
            <w:pPr>
              <w:spacing w:after="0" w:line="240" w:lineRule="auto"/>
              <w:ind w:firstLine="480" w:firstLineChars="200"/>
              <w:jc w:val="both"/>
              <w:rPr>
                <w:rFonts w:hint="eastAsia" w:ascii="仿宋" w:hAnsi="仿宋" w:eastAsia="仿宋" w:cs="Times New Roman"/>
                <w:color w:val="000000"/>
                <w:w w:val="95"/>
                <w:sz w:val="32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18"/>
              </w:rPr>
              <w:t>2024年4月，包头市公安机关接到多名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大</w:t>
            </w:r>
            <w:r>
              <w:rPr>
                <w:rFonts w:ascii="仿宋" w:hAnsi="仿宋" w:eastAsia="仿宋" w:cs="仿宋"/>
                <w:color w:val="000000"/>
                <w:sz w:val="24"/>
                <w:szCs w:val="18"/>
              </w:rPr>
              <w:t>车司机报案，他们在网络平台上求职时，被物流公司发布的“高薪”招聘货车司机信息所吸引。入职后，却遭遇了贷款高价购车等连环套路，不但损失了财产，还背负了巨额债务。报道讲述了司机受骗的过程，并通过细节揭露了这类骗局的主要手段。由揭示出的现象，进一步分析了问题的原因。邀请专业律师作为评论员进行普法，分析虚假招聘的特点，并引导求职者学会识别虚假招聘。透过问题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评论</w:t>
            </w:r>
            <w:r>
              <w:rPr>
                <w:rFonts w:ascii="仿宋" w:hAnsi="仿宋" w:eastAsia="仿宋" w:cs="仿宋"/>
                <w:color w:val="000000"/>
                <w:sz w:val="24"/>
                <w:szCs w:val="18"/>
              </w:rPr>
              <w:t>又进一步深入剖析了类似虚假招聘屡禁不止的深层次原因——其隐蔽性和监管存在空白。要破除虚假招聘的连环套，需要多部门同时发力，重视虚假招聘的危害性，并确保执法有力有效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，</w:t>
            </w:r>
            <w:r>
              <w:rPr>
                <w:rFonts w:ascii="仿宋" w:hAnsi="仿宋" w:eastAsia="仿宋" w:cs="仿宋"/>
                <w:color w:val="000000"/>
                <w:sz w:val="24"/>
                <w:szCs w:val="18"/>
              </w:rPr>
              <w:t>评论引起相关部门对招聘市场秩序的重视和关注。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7" w:hRule="atLeast"/>
        </w:trPr>
        <w:tc>
          <w:tcPr>
            <w:tcW w:w="980" w:type="dxa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社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会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效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果</w:t>
            </w:r>
          </w:p>
        </w:tc>
        <w:tc>
          <w:tcPr>
            <w:tcW w:w="9536" w:type="dxa"/>
            <w:gridSpan w:val="13"/>
            <w:vAlign w:val="center"/>
          </w:tcPr>
          <w:p>
            <w:pPr>
              <w:spacing w:after="0" w:line="240" w:lineRule="auto"/>
              <w:ind w:firstLine="42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18"/>
              </w:rPr>
              <w:t>该评论选题紧密围绕民生热点，贴近生活实际，更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能引起</w:t>
            </w:r>
            <w:r>
              <w:rPr>
                <w:rFonts w:ascii="仿宋" w:hAnsi="仿宋" w:eastAsia="仿宋" w:cs="仿宋"/>
                <w:color w:val="000000"/>
                <w:sz w:val="24"/>
                <w:szCs w:val="18"/>
              </w:rPr>
              <w:t>受众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关注</w:t>
            </w:r>
            <w:r>
              <w:rPr>
                <w:rFonts w:ascii="仿宋" w:hAnsi="仿宋" w:eastAsia="仿宋" w:cs="仿宋"/>
                <w:color w:val="000000"/>
                <w:sz w:val="24"/>
                <w:szCs w:val="18"/>
              </w:rPr>
              <w:t>。论据基于记者对受骗司机的采访，层层递进展开，深刻揭示了虚假招聘问题，并进行了深入剖析。这一问题背后，反映出部分企业追求短期利益，忽视了社会责任。同时，也凸显了监管机制在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网络</w:t>
            </w:r>
            <w:r>
              <w:rPr>
                <w:rFonts w:ascii="仿宋" w:hAnsi="仿宋" w:eastAsia="仿宋" w:cs="仿宋"/>
                <w:color w:val="000000"/>
                <w:sz w:val="24"/>
                <w:szCs w:val="18"/>
              </w:rPr>
              <w:t>招聘环节存在的漏洞。评论直接指出了问题的根源，并提出了治理建议，引起了监管部门的高度重视，公安机关的办案效率也因此得到了提升。该评论的播发对于净化就业环境、促进人力资源市场的健康可持续发展起到了积极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</w:trPr>
        <w:tc>
          <w:tcPr>
            <w:tcW w:w="980" w:type="dxa"/>
            <w:vMerge w:val="restart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传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播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数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据</w:t>
            </w:r>
          </w:p>
        </w:tc>
        <w:tc>
          <w:tcPr>
            <w:tcW w:w="2722" w:type="dxa"/>
            <w:gridSpan w:val="2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>
            <w:pPr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387" w:type="dxa"/>
            <w:vAlign w:val="center"/>
          </w:tcPr>
          <w:p>
            <w:pPr>
              <w:spacing w:after="0" w:line="240" w:lineRule="auto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6427" w:type="dxa"/>
            <w:gridSpan w:val="10"/>
            <w:vAlign w:val="center"/>
          </w:tcPr>
          <w:p>
            <w:pPr>
              <w:spacing w:after="0" w:line="240" w:lineRule="auto"/>
              <w:jc w:val="both"/>
              <w:rPr>
                <w:rFonts w:hint="eastAsia" w:ascii="仿宋" w:hAnsi="仿宋" w:eastAsia="仿宋" w:cs="Times New Roman"/>
                <w:color w:val="000000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</w:trPr>
        <w:tc>
          <w:tcPr>
            <w:tcW w:w="980" w:type="dxa"/>
            <w:vMerge w:val="continue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</w:p>
        </w:tc>
        <w:tc>
          <w:tcPr>
            <w:tcW w:w="2722" w:type="dxa"/>
            <w:gridSpan w:val="2"/>
            <w:vMerge w:val="continue"/>
            <w:vAlign w:val="center"/>
          </w:tcPr>
          <w:p>
            <w:pPr>
              <w:spacing w:after="0" w:line="240" w:lineRule="auto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87" w:type="dxa"/>
            <w:vAlign w:val="center"/>
          </w:tcPr>
          <w:p>
            <w:pPr>
              <w:spacing w:after="0" w:line="240" w:lineRule="auto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6427" w:type="dxa"/>
            <w:gridSpan w:val="10"/>
            <w:vAlign w:val="center"/>
          </w:tcPr>
          <w:p>
            <w:pPr>
              <w:spacing w:after="0" w:line="240" w:lineRule="auto"/>
              <w:jc w:val="both"/>
              <w:rPr>
                <w:rFonts w:hint="eastAsia" w:ascii="仿宋" w:hAnsi="仿宋" w:eastAsia="仿宋" w:cs="Times New Roman"/>
                <w:color w:val="000000"/>
                <w:sz w:val="32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32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980" w:type="dxa"/>
            <w:vMerge w:val="continue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</w:p>
        </w:tc>
        <w:tc>
          <w:tcPr>
            <w:tcW w:w="2722" w:type="dxa"/>
            <w:gridSpan w:val="2"/>
            <w:vMerge w:val="continue"/>
            <w:vAlign w:val="center"/>
          </w:tcPr>
          <w:p>
            <w:pPr>
              <w:spacing w:after="0" w:line="240" w:lineRule="auto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87" w:type="dxa"/>
            <w:vAlign w:val="center"/>
          </w:tcPr>
          <w:p>
            <w:pPr>
              <w:spacing w:after="0" w:line="240" w:lineRule="auto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6427" w:type="dxa"/>
            <w:gridSpan w:val="10"/>
            <w:vAlign w:val="center"/>
          </w:tcPr>
          <w:p>
            <w:pPr>
              <w:spacing w:after="0" w:line="240" w:lineRule="auto"/>
              <w:jc w:val="both"/>
              <w:rPr>
                <w:rFonts w:hint="eastAsia" w:ascii="仿宋" w:hAnsi="仿宋" w:eastAsia="仿宋" w:cs="Times New Roman"/>
                <w:color w:val="000000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exact"/>
        </w:trPr>
        <w:tc>
          <w:tcPr>
            <w:tcW w:w="980" w:type="dxa"/>
            <w:vMerge w:val="continue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</w:p>
        </w:tc>
        <w:tc>
          <w:tcPr>
            <w:tcW w:w="2722" w:type="dxa"/>
            <w:gridSpan w:val="2"/>
            <w:vAlign w:val="center"/>
          </w:tcPr>
          <w:p>
            <w:pPr>
              <w:spacing w:after="0" w:line="240" w:lineRule="auto"/>
              <w:jc w:val="both"/>
              <w:rPr>
                <w:rFonts w:hint="eastAsia" w:ascii="仿宋" w:hAnsi="仿宋" w:eastAsia="仿宋" w:cs="Times New Roman"/>
                <w:color w:val="000000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296" w:type="dxa"/>
            <w:gridSpan w:val="3"/>
            <w:vAlign w:val="center"/>
          </w:tcPr>
          <w:p>
            <w:pPr>
              <w:spacing w:after="0" w:line="240" w:lineRule="auto"/>
              <w:jc w:val="both"/>
              <w:rPr>
                <w:rFonts w:hint="eastAsia" w:ascii="仿宋" w:hAnsi="仿宋" w:eastAsia="仿宋" w:cs="Times New Roman"/>
                <w:color w:val="000000"/>
                <w:szCs w:val="16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spacing w:after="0" w:line="240" w:lineRule="auto"/>
              <w:jc w:val="both"/>
              <w:rPr>
                <w:rFonts w:hint="eastAsia" w:ascii="仿宋" w:hAnsi="仿宋" w:eastAsia="仿宋" w:cs="Times New Roman"/>
                <w:color w:val="000000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Cs w:val="16"/>
              </w:rPr>
              <w:t>转载量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spacing w:after="0" w:line="240" w:lineRule="auto"/>
              <w:jc w:val="both"/>
              <w:rPr>
                <w:rFonts w:hint="eastAsia" w:ascii="仿宋" w:hAnsi="仿宋" w:eastAsia="仿宋" w:cs="Times New Roman"/>
                <w:color w:val="000000"/>
                <w:sz w:val="32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both"/>
              <w:rPr>
                <w:rFonts w:hint="eastAsia" w:ascii="仿宋" w:hAnsi="仿宋" w:eastAsia="仿宋" w:cs="Times New Roman"/>
                <w:color w:val="000000"/>
                <w:sz w:val="3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16"/>
              </w:rPr>
              <w:t>互动量</w:t>
            </w: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both"/>
              <w:rPr>
                <w:rFonts w:hint="eastAsia" w:ascii="仿宋" w:hAnsi="仿宋" w:eastAsia="仿宋" w:cs="Times New Roman"/>
                <w:color w:val="000000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9" w:hRule="exact"/>
        </w:trPr>
        <w:tc>
          <w:tcPr>
            <w:tcW w:w="98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 xml:space="preserve">  ︵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初推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评荐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评理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语由</w:t>
            </w:r>
          </w:p>
          <w:p>
            <w:pPr>
              <w:spacing w:after="0"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 xml:space="preserve">  ︶</w:t>
            </w:r>
          </w:p>
        </w:tc>
        <w:tc>
          <w:tcPr>
            <w:tcW w:w="9536" w:type="dxa"/>
            <w:gridSpan w:val="13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firstLine="480" w:firstLineChars="200"/>
              <w:jc w:val="both"/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该评论观点鲜明，舆论引导正确，深刻揭示了物流公司“高薪”招聘货车司机背后存在的职能部门监管不力与监管缺失的问题，展现了评论的力度与深度。评论体现了“三贴近”原则，引发了受众的广泛共鸣，并引起了相关部门的重视，有效推进了市场监管部门及公安机关查处案件的力度。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  <w:szCs w:val="32"/>
              </w:rPr>
              <w:t xml:space="preserve">                     </w:t>
            </w:r>
          </w:p>
          <w:p>
            <w:pPr>
              <w:spacing w:after="0" w:line="360" w:lineRule="exact"/>
              <w:jc w:val="both"/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  <w:szCs w:val="32"/>
              </w:rPr>
              <w:t xml:space="preserve">                       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  <w:szCs w:val="32"/>
              </w:rPr>
              <w:t xml:space="preserve">    </w:t>
            </w:r>
          </w:p>
          <w:p>
            <w:pPr>
              <w:spacing w:after="0" w:line="360" w:lineRule="exact"/>
              <w:ind w:firstLine="6624" w:firstLineChars="2400"/>
              <w:jc w:val="both"/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  <w:szCs w:val="32"/>
              </w:rPr>
              <w:t>签名：</w:t>
            </w:r>
          </w:p>
          <w:p>
            <w:pPr>
              <w:spacing w:after="0" w:line="360" w:lineRule="exact"/>
              <w:ind w:firstLine="5880" w:firstLineChars="2100"/>
              <w:jc w:val="both"/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（盖单位公章）</w:t>
            </w:r>
          </w:p>
          <w:p>
            <w:pPr>
              <w:spacing w:after="0" w:line="240" w:lineRule="auto"/>
              <w:jc w:val="both"/>
              <w:rPr>
                <w:rFonts w:hint="eastAsia" w:ascii="仿宋" w:hAnsi="仿宋" w:eastAsia="仿宋" w:cs="Times New Roman"/>
                <w:color w:val="000000"/>
                <w:sz w:val="32"/>
                <w:szCs w:val="21"/>
              </w:rPr>
            </w:pPr>
            <w:r>
              <w:rPr>
                <w:rFonts w:hint="eastAsia" w:ascii="仿宋_GB2312" w:hAnsi="Times New Roman" w:eastAsia="方正仿宋_GBK" w:cs="Times New Roman"/>
                <w:color w:val="000000"/>
                <w:sz w:val="28"/>
                <w:szCs w:val="32"/>
              </w:rPr>
              <w:t xml:space="preserve">                       </w:t>
            </w:r>
            <w:r>
              <w:rPr>
                <w:rFonts w:hint="eastAsia" w:ascii="仿宋_GB2312" w:hAnsi="Times New Roman" w:eastAsia="方正仿宋_GBK" w:cs="Times New Roman"/>
                <w:color w:val="000000"/>
                <w:sz w:val="28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仿宋_GB2312" w:hAnsi="Times New Roman" w:eastAsia="方正仿宋_GBK" w:cs="Times New Roman"/>
                <w:color w:val="000000"/>
                <w:sz w:val="28"/>
                <w:szCs w:val="32"/>
              </w:rPr>
              <w:t xml:space="preserve">    </w:t>
            </w:r>
            <w:r>
              <w:rPr>
                <w:rFonts w:hint="eastAsia" w:ascii="仿宋_GB2312" w:hAnsi="Times New Roman" w:eastAsia="方正仿宋_GBK" w:cs="Times New Roman"/>
                <w:color w:val="000000"/>
                <w:sz w:val="28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仿宋_GB2312" w:hAnsi="Times New Roman" w:eastAsia="方正仿宋_GBK" w:cs="Times New Roman"/>
                <w:color w:val="000000"/>
                <w:sz w:val="28"/>
                <w:szCs w:val="32"/>
              </w:rPr>
              <w:t xml:space="preserve">      </w:t>
            </w:r>
            <w:r>
              <w:rPr>
                <w:rFonts w:ascii="华文中宋" w:hAnsi="华文中宋" w:eastAsia="华文中宋" w:cs="Times New Roman"/>
                <w:color w:val="000000"/>
                <w:sz w:val="28"/>
                <w:szCs w:val="32"/>
              </w:rPr>
              <w:t>2025年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月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32"/>
              </w:rPr>
              <w:t>日</w:t>
            </w:r>
          </w:p>
        </w:tc>
      </w:tr>
    </w:tbl>
    <w:p>
      <w:pPr>
        <w:rPr>
          <w:rFonts w:eastAsiaTheme="minorEastAsia"/>
          <w:vanish/>
        </w:rPr>
      </w:pPr>
    </w:p>
    <w:sectPr>
      <w:pgSz w:w="11906" w:h="16838"/>
      <w:pgMar w:top="986" w:right="1800" w:bottom="986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EF7DE21"/>
    <w:rsid w:val="01C607E4"/>
    <w:rsid w:val="02764DA2"/>
    <w:rsid w:val="1FDD3994"/>
    <w:rsid w:val="44CB430F"/>
    <w:rsid w:val="456357E4"/>
    <w:rsid w:val="47BB2917"/>
    <w:rsid w:val="67027D5A"/>
    <w:rsid w:val="6BE7C438"/>
    <w:rsid w:val="6FBF224B"/>
    <w:rsid w:val="7BDD4D8D"/>
    <w:rsid w:val="7D2D4CBC"/>
    <w:rsid w:val="C4CA7A0F"/>
    <w:rsid w:val="DF7FEDB7"/>
    <w:rsid w:val="FBD75FBA"/>
    <w:rsid w:val="FCFF7F8D"/>
    <w:rsid w:val="FEF7D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true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942</Words>
  <Characters>959</Characters>
  <Lines>0</Lines>
  <Paragraphs>0</Paragraphs>
  <TotalTime>80</TotalTime>
  <ScaleCrop>false</ScaleCrop>
  <LinksUpToDate>false</LinksUpToDate>
  <CharactersWithSpaces>1053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2025-03-28T15:34:00Z</dcterms:created>
  <dc:creator>user</dc:creator>
  <cp:lastModifiedBy>user</cp:lastModifiedBy>
  <cp:lastPrinted>2025-04-26T08:03:00Z</cp:lastPrinted>
  <dcterms:modified xsi:type="dcterms:W3CDTF">2025-04-29T16:29:26Z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97DCCE02655AF4DC925CE26713A11609</vt:lpwstr>
  </property>
  <property fmtid="{D5CDD505-2E9C-101B-9397-08002B2CF9AE}" pid="4" name="KSOTemplateDocerSaveRecord">
    <vt:lpwstr>eyJoZGlkIjoiMDVmYzUzZDUyYmU2ZGIyOGM5OWExOTFjOGRjNjlmZjAiLCJ1c2VySWQiOiIyNjkyNDc1MjcifQ==</vt:lpwstr>
  </property>
</Properties>
</file>