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6F7E6">
      <w:pPr>
        <w:pStyle w:val="3"/>
        <w:pBdr>
          <w:bottom w:val="none" w:color="auto" w:sz="0" w:space="0"/>
        </w:pBdr>
        <w:jc w:val="left"/>
        <w:rPr>
          <w:rFonts w:hint="eastAsia" w:ascii="黑体" w:hAnsi="黑体" w:eastAsia="黑体" w:cs="黑体"/>
          <w:color w:val="000000"/>
          <w:sz w:val="32"/>
          <w:szCs w:val="32"/>
          <w:lang w:eastAsia="zh-CN"/>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5</w:t>
      </w:r>
    </w:p>
    <w:p w14:paraId="3EE97030">
      <w:pPr>
        <w:snapToGrid w:val="0"/>
        <w:spacing w:after="217" w:afterLines="50" w:line="560" w:lineRule="exact"/>
        <w:jc w:val="center"/>
        <w:rPr>
          <w:rFonts w:hint="eastAsia" w:ascii="方正小标宋简体" w:hAnsi="方正小标宋简体" w:eastAsia="方正小标宋简体" w:cs="方正小标宋简体"/>
          <w:color w:val="000000"/>
          <w:sz w:val="40"/>
          <w:szCs w:val="40"/>
        </w:rPr>
      </w:pPr>
      <w:r>
        <w:rPr>
          <w:rFonts w:hint="eastAsia" w:ascii="方正小标宋简体" w:hAnsi="方正小标宋简体" w:eastAsia="方正小标宋简体" w:cs="方正小标宋简体"/>
          <w:color w:val="000000"/>
          <w:sz w:val="40"/>
          <w:szCs w:val="40"/>
        </w:rPr>
        <w:t>获</w:t>
      </w:r>
      <w:r>
        <w:rPr>
          <w:rFonts w:hint="eastAsia" w:ascii="方正小标宋简体" w:hAnsi="方正小标宋简体" w:eastAsia="方正小标宋简体" w:cs="方正小标宋简体"/>
          <w:color w:val="000000"/>
          <w:sz w:val="40"/>
          <w:szCs w:val="40"/>
          <w:lang w:val="en-US" w:eastAsia="zh-CN"/>
        </w:rPr>
        <w:t xml:space="preserve"> </w:t>
      </w:r>
      <w:r>
        <w:rPr>
          <w:rFonts w:hint="eastAsia" w:ascii="方正小标宋简体" w:hAnsi="方正小标宋简体" w:eastAsia="方正小标宋简体" w:cs="方正小标宋简体"/>
          <w:color w:val="000000"/>
          <w:sz w:val="40"/>
          <w:szCs w:val="40"/>
        </w:rPr>
        <w:t>奖</w:t>
      </w:r>
      <w:r>
        <w:rPr>
          <w:rFonts w:hint="eastAsia" w:ascii="方正小标宋简体" w:hAnsi="方正小标宋简体" w:eastAsia="方正小标宋简体" w:cs="方正小标宋简体"/>
          <w:color w:val="000000"/>
          <w:sz w:val="40"/>
          <w:szCs w:val="40"/>
          <w:lang w:val="en-US" w:eastAsia="zh-CN"/>
        </w:rPr>
        <w:t xml:space="preserve"> </w:t>
      </w:r>
      <w:r>
        <w:rPr>
          <w:rFonts w:hint="eastAsia" w:ascii="方正小标宋简体" w:hAnsi="方正小标宋简体" w:eastAsia="方正小标宋简体" w:cs="方正小标宋简体"/>
          <w:color w:val="000000"/>
          <w:sz w:val="40"/>
          <w:szCs w:val="40"/>
        </w:rPr>
        <w:t>作</w:t>
      </w:r>
      <w:r>
        <w:rPr>
          <w:rFonts w:hint="eastAsia" w:ascii="方正小标宋简体" w:hAnsi="方正小标宋简体" w:eastAsia="方正小标宋简体" w:cs="方正小标宋简体"/>
          <w:color w:val="000000"/>
          <w:sz w:val="40"/>
          <w:szCs w:val="40"/>
          <w:lang w:val="en-US" w:eastAsia="zh-CN"/>
        </w:rPr>
        <w:t xml:space="preserve"> </w:t>
      </w:r>
      <w:r>
        <w:rPr>
          <w:rFonts w:hint="eastAsia" w:ascii="方正小标宋简体" w:hAnsi="方正小标宋简体" w:eastAsia="方正小标宋简体" w:cs="方正小标宋简体"/>
          <w:color w:val="000000"/>
          <w:sz w:val="40"/>
          <w:szCs w:val="40"/>
        </w:rPr>
        <w:t>品</w:t>
      </w:r>
      <w:r>
        <w:rPr>
          <w:rFonts w:hint="eastAsia" w:ascii="方正小标宋简体" w:hAnsi="方正小标宋简体" w:eastAsia="方正小标宋简体" w:cs="方正小标宋简体"/>
          <w:color w:val="000000"/>
          <w:sz w:val="40"/>
          <w:szCs w:val="40"/>
          <w:lang w:val="en-US" w:eastAsia="zh-CN"/>
        </w:rPr>
        <w:t xml:space="preserve"> </w:t>
      </w:r>
      <w:r>
        <w:rPr>
          <w:rFonts w:hint="eastAsia" w:ascii="方正小标宋简体" w:hAnsi="方正小标宋简体" w:eastAsia="方正小标宋简体" w:cs="方正小标宋简体"/>
          <w:color w:val="000000"/>
          <w:sz w:val="40"/>
          <w:szCs w:val="40"/>
        </w:rPr>
        <w:t>登</w:t>
      </w:r>
      <w:r>
        <w:rPr>
          <w:rFonts w:hint="eastAsia" w:ascii="方正小标宋简体" w:hAnsi="方正小标宋简体" w:eastAsia="方正小标宋简体" w:cs="方正小标宋简体"/>
          <w:color w:val="000000"/>
          <w:sz w:val="40"/>
          <w:szCs w:val="40"/>
          <w:lang w:val="en-US" w:eastAsia="zh-CN"/>
        </w:rPr>
        <w:t xml:space="preserve"> </w:t>
      </w:r>
      <w:r>
        <w:rPr>
          <w:rFonts w:hint="eastAsia" w:ascii="方正小标宋简体" w:hAnsi="方正小标宋简体" w:eastAsia="方正小标宋简体" w:cs="方正小标宋简体"/>
          <w:color w:val="000000"/>
          <w:sz w:val="40"/>
          <w:szCs w:val="40"/>
        </w:rPr>
        <w:t>记</w:t>
      </w:r>
      <w:r>
        <w:rPr>
          <w:rFonts w:hint="eastAsia" w:ascii="方正小标宋简体" w:hAnsi="方正小标宋简体" w:eastAsia="方正小标宋简体" w:cs="方正小标宋简体"/>
          <w:color w:val="000000"/>
          <w:sz w:val="40"/>
          <w:szCs w:val="40"/>
          <w:lang w:val="en-US" w:eastAsia="zh-CN"/>
        </w:rPr>
        <w:t xml:space="preserve"> </w:t>
      </w:r>
      <w:r>
        <w:rPr>
          <w:rFonts w:hint="eastAsia" w:ascii="方正小标宋简体" w:hAnsi="方正小标宋简体" w:eastAsia="方正小标宋简体" w:cs="方正小标宋简体"/>
          <w:color w:val="000000"/>
          <w:sz w:val="40"/>
          <w:szCs w:val="40"/>
        </w:rPr>
        <w:t>表</w:t>
      </w:r>
    </w:p>
    <w:tbl>
      <w:tblPr>
        <w:tblStyle w:val="4"/>
        <w:tblW w:w="96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28"/>
        <w:gridCol w:w="2106"/>
        <w:gridCol w:w="1410"/>
        <w:gridCol w:w="690"/>
        <w:gridCol w:w="3094"/>
      </w:tblGrid>
      <w:tr w14:paraId="4C838E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2328" w:type="dxa"/>
            <w:tcBorders>
              <w:top w:val="single" w:color="auto" w:sz="4" w:space="0"/>
              <w:left w:val="single" w:color="auto" w:sz="4" w:space="0"/>
              <w:bottom w:val="single" w:color="auto" w:sz="4" w:space="0"/>
              <w:right w:val="single" w:color="auto" w:sz="4" w:space="0"/>
            </w:tcBorders>
            <w:vAlign w:val="center"/>
          </w:tcPr>
          <w:p w14:paraId="6875CEDF">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报送单位</w:t>
            </w:r>
          </w:p>
        </w:tc>
        <w:tc>
          <w:tcPr>
            <w:tcW w:w="7300" w:type="dxa"/>
            <w:gridSpan w:val="4"/>
            <w:tcBorders>
              <w:top w:val="single" w:color="auto" w:sz="4" w:space="0"/>
              <w:left w:val="single" w:color="auto" w:sz="4" w:space="0"/>
              <w:bottom w:val="single" w:color="auto" w:sz="4" w:space="0"/>
              <w:right w:val="single" w:color="auto" w:sz="4" w:space="0"/>
            </w:tcBorders>
            <w:vAlign w:val="center"/>
          </w:tcPr>
          <w:p w14:paraId="68972CAC">
            <w:pPr>
              <w:snapToGrid w:val="0"/>
              <w:spacing w:line="380" w:lineRule="exact"/>
              <w:jc w:val="center"/>
              <w:rPr>
                <w:rFonts w:hint="default" w:ascii="华文宋体" w:hAnsi="华文宋体" w:eastAsia="华文宋体" w:cs="华文宋体"/>
                <w:color w:val="000000"/>
                <w:sz w:val="24"/>
                <w:szCs w:val="24"/>
                <w:lang w:val="en-US" w:eastAsia="zh-CN"/>
              </w:rPr>
            </w:pPr>
            <w:r>
              <w:rPr>
                <w:rFonts w:hint="eastAsia" w:ascii="华文宋体" w:hAnsi="华文宋体" w:eastAsia="华文宋体" w:cs="华文宋体"/>
                <w:color w:val="000000"/>
                <w:sz w:val="24"/>
                <w:szCs w:val="24"/>
                <w:lang w:val="en-US" w:eastAsia="zh-CN"/>
              </w:rPr>
              <w:t>内蒙古日报社</w:t>
            </w:r>
          </w:p>
        </w:tc>
      </w:tr>
      <w:tr w14:paraId="4C65E0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328" w:type="dxa"/>
            <w:tcBorders>
              <w:top w:val="single" w:color="auto" w:sz="4" w:space="0"/>
              <w:left w:val="single" w:color="auto" w:sz="4" w:space="0"/>
              <w:bottom w:val="single" w:color="auto" w:sz="4" w:space="0"/>
              <w:right w:val="single" w:color="auto" w:sz="4" w:space="0"/>
            </w:tcBorders>
            <w:vAlign w:val="center"/>
          </w:tcPr>
          <w:p w14:paraId="6C7A9E9E">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作者姓名</w:t>
            </w:r>
          </w:p>
        </w:tc>
        <w:tc>
          <w:tcPr>
            <w:tcW w:w="2106" w:type="dxa"/>
            <w:tcBorders>
              <w:top w:val="single" w:color="auto" w:sz="4" w:space="0"/>
              <w:left w:val="single" w:color="auto" w:sz="4" w:space="0"/>
              <w:bottom w:val="single" w:color="auto" w:sz="4" w:space="0"/>
              <w:right w:val="single" w:color="auto" w:sz="4" w:space="0"/>
            </w:tcBorders>
            <w:vAlign w:val="center"/>
          </w:tcPr>
          <w:p w14:paraId="3E1E344F">
            <w:pPr>
              <w:snapToGrid w:val="0"/>
              <w:spacing w:line="380" w:lineRule="exact"/>
              <w:jc w:val="center"/>
              <w:rPr>
                <w:rFonts w:hint="default" w:ascii="华文宋体" w:hAnsi="华文宋体" w:eastAsia="华文宋体" w:cs="华文宋体"/>
                <w:color w:val="000000"/>
                <w:sz w:val="24"/>
                <w:szCs w:val="24"/>
                <w:lang w:val="en-US" w:eastAsia="zh-CN"/>
              </w:rPr>
            </w:pPr>
            <w:r>
              <w:rPr>
                <w:rFonts w:hint="eastAsia" w:ascii="华文宋体" w:hAnsi="华文宋体" w:eastAsia="华文宋体" w:cs="华文宋体"/>
                <w:color w:val="000000"/>
                <w:sz w:val="24"/>
                <w:szCs w:val="24"/>
                <w:lang w:val="en-US" w:eastAsia="zh-CN"/>
              </w:rPr>
              <w:t>许晓岚、李永桃、王玉琢</w:t>
            </w:r>
          </w:p>
        </w:tc>
        <w:tc>
          <w:tcPr>
            <w:tcW w:w="2100" w:type="dxa"/>
            <w:gridSpan w:val="2"/>
            <w:tcBorders>
              <w:top w:val="single" w:color="auto" w:sz="4" w:space="0"/>
              <w:left w:val="single" w:color="auto" w:sz="4" w:space="0"/>
              <w:bottom w:val="single" w:color="auto" w:sz="4" w:space="0"/>
              <w:right w:val="single" w:color="auto" w:sz="4" w:space="0"/>
            </w:tcBorders>
            <w:vAlign w:val="center"/>
          </w:tcPr>
          <w:p w14:paraId="3BEDBB59">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作者工作单位</w:t>
            </w:r>
          </w:p>
        </w:tc>
        <w:tc>
          <w:tcPr>
            <w:tcW w:w="3094" w:type="dxa"/>
            <w:tcBorders>
              <w:top w:val="single" w:color="auto" w:sz="4" w:space="0"/>
              <w:left w:val="single" w:color="auto" w:sz="4" w:space="0"/>
              <w:bottom w:val="single" w:color="auto" w:sz="4" w:space="0"/>
              <w:right w:val="single" w:color="auto" w:sz="4" w:space="0"/>
            </w:tcBorders>
            <w:vAlign w:val="center"/>
          </w:tcPr>
          <w:p w14:paraId="2C842074">
            <w:pPr>
              <w:snapToGrid w:val="0"/>
              <w:spacing w:line="380" w:lineRule="exact"/>
              <w:jc w:val="center"/>
              <w:rPr>
                <w:rFonts w:hint="default" w:ascii="华文宋体" w:hAnsi="华文宋体" w:eastAsia="华文宋体" w:cs="华文宋体"/>
                <w:color w:val="000000"/>
                <w:sz w:val="24"/>
                <w:szCs w:val="24"/>
                <w:lang w:val="en-US" w:eastAsia="zh-CN"/>
              </w:rPr>
            </w:pPr>
            <w:r>
              <w:rPr>
                <w:rFonts w:hint="eastAsia" w:ascii="华文宋体" w:hAnsi="华文宋体" w:eastAsia="华文宋体" w:cs="华文宋体"/>
                <w:color w:val="000000"/>
                <w:sz w:val="24"/>
                <w:szCs w:val="24"/>
                <w:lang w:val="en-US" w:eastAsia="zh-CN"/>
              </w:rPr>
              <w:t>内蒙古日报社</w:t>
            </w:r>
          </w:p>
        </w:tc>
      </w:tr>
      <w:tr w14:paraId="385D67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2328" w:type="dxa"/>
            <w:tcBorders>
              <w:top w:val="single" w:color="auto" w:sz="4" w:space="0"/>
              <w:left w:val="single" w:color="auto" w:sz="4" w:space="0"/>
              <w:bottom w:val="single" w:color="auto" w:sz="4" w:space="0"/>
              <w:right w:val="single" w:color="auto" w:sz="4" w:space="0"/>
            </w:tcBorders>
            <w:vAlign w:val="center"/>
          </w:tcPr>
          <w:p w14:paraId="323C8FE0">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作品标题</w:t>
            </w:r>
          </w:p>
        </w:tc>
        <w:tc>
          <w:tcPr>
            <w:tcW w:w="7300" w:type="dxa"/>
            <w:gridSpan w:val="4"/>
            <w:tcBorders>
              <w:top w:val="single" w:color="auto" w:sz="4" w:space="0"/>
              <w:left w:val="single" w:color="auto" w:sz="4" w:space="0"/>
              <w:bottom w:val="single" w:color="auto" w:sz="4" w:space="0"/>
              <w:right w:val="single" w:color="auto" w:sz="4" w:space="0"/>
            </w:tcBorders>
            <w:vAlign w:val="center"/>
          </w:tcPr>
          <w:p w14:paraId="20666C75">
            <w:pPr>
              <w:snapToGrid w:val="0"/>
              <w:spacing w:line="380" w:lineRule="exact"/>
              <w:jc w:val="center"/>
              <w:rPr>
                <w:rFonts w:hint="default" w:ascii="华文宋体" w:hAnsi="华文宋体" w:eastAsia="华文宋体" w:cs="华文宋体"/>
                <w:color w:val="000000"/>
                <w:sz w:val="24"/>
                <w:szCs w:val="24"/>
                <w:lang w:val="en-US" w:eastAsia="zh-CN"/>
              </w:rPr>
            </w:pPr>
            <w:r>
              <w:rPr>
                <w:rFonts w:hint="eastAsia" w:ascii="华文宋体" w:hAnsi="华文宋体" w:eastAsia="华文宋体" w:cs="华文宋体"/>
                <w:color w:val="000000"/>
                <w:sz w:val="24"/>
                <w:szCs w:val="24"/>
                <w:lang w:eastAsia="zh-CN"/>
              </w:rPr>
              <w:t>《</w:t>
            </w:r>
            <w:r>
              <w:rPr>
                <w:rFonts w:hint="eastAsia" w:ascii="华文宋体" w:hAnsi="华文宋体" w:eastAsia="华文宋体" w:cs="华文宋体"/>
                <w:color w:val="000000"/>
                <w:sz w:val="24"/>
                <w:szCs w:val="24"/>
                <w:lang w:val="en-US" w:eastAsia="zh-CN"/>
              </w:rPr>
              <w:t>国家战略下的内蒙古煤炭之变》</w:t>
            </w:r>
          </w:p>
        </w:tc>
      </w:tr>
      <w:tr w14:paraId="4C0FB8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328" w:type="dxa"/>
            <w:tcBorders>
              <w:top w:val="single" w:color="auto" w:sz="4" w:space="0"/>
              <w:left w:val="single" w:color="auto" w:sz="4" w:space="0"/>
              <w:bottom w:val="single" w:color="auto" w:sz="4" w:space="0"/>
              <w:right w:val="single" w:color="auto" w:sz="4" w:space="0"/>
            </w:tcBorders>
            <w:vAlign w:val="center"/>
          </w:tcPr>
          <w:p w14:paraId="533FDDB6">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刊播单位</w:t>
            </w:r>
          </w:p>
        </w:tc>
        <w:tc>
          <w:tcPr>
            <w:tcW w:w="2106" w:type="dxa"/>
            <w:tcBorders>
              <w:top w:val="single" w:color="auto" w:sz="4" w:space="0"/>
              <w:left w:val="single" w:color="auto" w:sz="4" w:space="0"/>
              <w:bottom w:val="single" w:color="auto" w:sz="4" w:space="0"/>
              <w:right w:val="single" w:color="auto" w:sz="4" w:space="0"/>
            </w:tcBorders>
            <w:vAlign w:val="center"/>
          </w:tcPr>
          <w:p w14:paraId="16615AB3">
            <w:pPr>
              <w:snapToGrid w:val="0"/>
              <w:spacing w:line="380" w:lineRule="exact"/>
              <w:jc w:val="center"/>
              <w:rPr>
                <w:rFonts w:hint="default" w:ascii="华文宋体" w:hAnsi="华文宋体" w:eastAsia="华文宋体" w:cs="华文宋体"/>
                <w:color w:val="000000"/>
                <w:sz w:val="24"/>
                <w:szCs w:val="24"/>
                <w:lang w:val="en-US" w:eastAsia="zh-CN"/>
              </w:rPr>
            </w:pPr>
            <w:r>
              <w:rPr>
                <w:rFonts w:hint="eastAsia" w:ascii="华文宋体" w:hAnsi="华文宋体" w:eastAsia="华文宋体" w:cs="华文宋体"/>
                <w:color w:val="000000"/>
                <w:sz w:val="24"/>
                <w:szCs w:val="24"/>
                <w:lang w:val="en-US" w:eastAsia="zh-CN"/>
              </w:rPr>
              <w:t>内蒙古日报社</w:t>
            </w:r>
          </w:p>
        </w:tc>
        <w:tc>
          <w:tcPr>
            <w:tcW w:w="1410" w:type="dxa"/>
            <w:tcBorders>
              <w:top w:val="single" w:color="auto" w:sz="4" w:space="0"/>
              <w:left w:val="single" w:color="auto" w:sz="4" w:space="0"/>
              <w:bottom w:val="single" w:color="auto" w:sz="4" w:space="0"/>
              <w:right w:val="single" w:color="auto" w:sz="4" w:space="0"/>
            </w:tcBorders>
            <w:vAlign w:val="center"/>
          </w:tcPr>
          <w:p w14:paraId="238EF572">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刊播日期</w:t>
            </w:r>
          </w:p>
        </w:tc>
        <w:tc>
          <w:tcPr>
            <w:tcW w:w="3784" w:type="dxa"/>
            <w:gridSpan w:val="2"/>
            <w:tcBorders>
              <w:top w:val="single" w:color="auto" w:sz="4" w:space="0"/>
              <w:left w:val="single" w:color="auto" w:sz="4" w:space="0"/>
              <w:bottom w:val="single" w:color="auto" w:sz="4" w:space="0"/>
              <w:right w:val="single" w:color="auto" w:sz="4" w:space="0"/>
            </w:tcBorders>
            <w:vAlign w:val="center"/>
          </w:tcPr>
          <w:p w14:paraId="12555219">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lang w:val="en-US" w:eastAsia="zh-CN"/>
              </w:rPr>
              <w:t>2020</w:t>
            </w:r>
            <w:r>
              <w:rPr>
                <w:rFonts w:hint="eastAsia" w:ascii="华文宋体" w:hAnsi="华文宋体" w:eastAsia="华文宋体" w:cs="华文宋体"/>
                <w:color w:val="000000"/>
                <w:sz w:val="24"/>
                <w:szCs w:val="24"/>
              </w:rPr>
              <w:t>年</w:t>
            </w:r>
            <w:r>
              <w:rPr>
                <w:rFonts w:hint="eastAsia" w:ascii="华文宋体" w:hAnsi="华文宋体" w:eastAsia="华文宋体" w:cs="华文宋体"/>
                <w:color w:val="000000"/>
                <w:sz w:val="24"/>
                <w:szCs w:val="24"/>
                <w:lang w:val="en-US" w:eastAsia="zh-CN"/>
              </w:rPr>
              <w:t>11</w:t>
            </w:r>
            <w:r>
              <w:rPr>
                <w:rFonts w:hint="eastAsia" w:ascii="华文宋体" w:hAnsi="华文宋体" w:eastAsia="华文宋体" w:cs="华文宋体"/>
                <w:color w:val="000000"/>
                <w:sz w:val="24"/>
                <w:szCs w:val="24"/>
              </w:rPr>
              <w:t>月</w:t>
            </w:r>
            <w:r>
              <w:rPr>
                <w:rFonts w:hint="eastAsia" w:ascii="华文宋体" w:hAnsi="华文宋体" w:eastAsia="华文宋体" w:cs="华文宋体"/>
                <w:color w:val="000000"/>
                <w:sz w:val="24"/>
                <w:szCs w:val="24"/>
                <w:lang w:val="en-US" w:eastAsia="zh-CN"/>
              </w:rPr>
              <w:t>14</w:t>
            </w:r>
            <w:r>
              <w:rPr>
                <w:rFonts w:hint="eastAsia" w:ascii="华文宋体" w:hAnsi="华文宋体" w:eastAsia="华文宋体" w:cs="华文宋体"/>
                <w:color w:val="000000"/>
                <w:sz w:val="24"/>
                <w:szCs w:val="24"/>
              </w:rPr>
              <w:t>日</w:t>
            </w:r>
          </w:p>
        </w:tc>
      </w:tr>
      <w:tr w14:paraId="762190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328" w:type="dxa"/>
            <w:tcBorders>
              <w:top w:val="single" w:color="auto" w:sz="4" w:space="0"/>
              <w:left w:val="single" w:color="auto" w:sz="4" w:space="0"/>
              <w:bottom w:val="single" w:color="auto" w:sz="4" w:space="0"/>
              <w:right w:val="single" w:color="auto" w:sz="4" w:space="0"/>
            </w:tcBorders>
            <w:vAlign w:val="center"/>
          </w:tcPr>
          <w:p w14:paraId="68374B9C">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字数(时长)</w:t>
            </w:r>
          </w:p>
        </w:tc>
        <w:tc>
          <w:tcPr>
            <w:tcW w:w="2106" w:type="dxa"/>
            <w:tcBorders>
              <w:top w:val="single" w:color="auto" w:sz="4" w:space="0"/>
              <w:left w:val="single" w:color="auto" w:sz="4" w:space="0"/>
              <w:bottom w:val="single" w:color="auto" w:sz="4" w:space="0"/>
              <w:right w:val="single" w:color="auto" w:sz="4" w:space="0"/>
            </w:tcBorders>
            <w:vAlign w:val="center"/>
          </w:tcPr>
          <w:p w14:paraId="3147ADF0">
            <w:pPr>
              <w:snapToGrid w:val="0"/>
              <w:spacing w:line="380" w:lineRule="exact"/>
              <w:jc w:val="center"/>
              <w:rPr>
                <w:rFonts w:hint="default" w:ascii="华文宋体" w:hAnsi="华文宋体" w:eastAsia="华文宋体" w:cs="华文宋体"/>
                <w:color w:val="000000"/>
                <w:sz w:val="24"/>
                <w:szCs w:val="24"/>
                <w:lang w:val="en-US" w:eastAsia="zh-CN"/>
              </w:rPr>
            </w:pPr>
            <w:r>
              <w:rPr>
                <w:rFonts w:hint="eastAsia" w:ascii="华文宋体" w:hAnsi="华文宋体" w:eastAsia="华文宋体" w:cs="华文宋体"/>
                <w:color w:val="000000"/>
                <w:sz w:val="24"/>
                <w:szCs w:val="24"/>
                <w:lang w:val="en-US" w:eastAsia="zh-CN"/>
              </w:rPr>
              <w:t>2720字</w:t>
            </w:r>
          </w:p>
        </w:tc>
        <w:tc>
          <w:tcPr>
            <w:tcW w:w="1410" w:type="dxa"/>
            <w:tcBorders>
              <w:top w:val="single" w:color="auto" w:sz="4" w:space="0"/>
              <w:left w:val="single" w:color="auto" w:sz="4" w:space="0"/>
              <w:bottom w:val="single" w:color="auto" w:sz="4" w:space="0"/>
              <w:right w:val="single" w:color="auto" w:sz="4" w:space="0"/>
            </w:tcBorders>
            <w:vAlign w:val="center"/>
          </w:tcPr>
          <w:p w14:paraId="0DD7C88B">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作品体裁</w:t>
            </w:r>
          </w:p>
        </w:tc>
        <w:tc>
          <w:tcPr>
            <w:tcW w:w="3784" w:type="dxa"/>
            <w:gridSpan w:val="2"/>
            <w:tcBorders>
              <w:top w:val="single" w:color="auto" w:sz="4" w:space="0"/>
              <w:left w:val="single" w:color="auto" w:sz="4" w:space="0"/>
              <w:bottom w:val="single" w:color="auto" w:sz="4" w:space="0"/>
              <w:right w:val="single" w:color="auto" w:sz="4" w:space="0"/>
            </w:tcBorders>
            <w:vAlign w:val="center"/>
          </w:tcPr>
          <w:p w14:paraId="3BDE6E2F">
            <w:pPr>
              <w:snapToGrid w:val="0"/>
              <w:spacing w:line="380" w:lineRule="exact"/>
              <w:jc w:val="center"/>
              <w:rPr>
                <w:rFonts w:hint="eastAsia" w:ascii="华文宋体" w:hAnsi="华文宋体" w:eastAsia="华文宋体" w:cs="华文宋体"/>
                <w:color w:val="000000"/>
                <w:sz w:val="24"/>
                <w:szCs w:val="24"/>
                <w:lang w:eastAsia="zh-CN"/>
              </w:rPr>
            </w:pPr>
            <w:r>
              <w:rPr>
                <w:rFonts w:hint="eastAsia" w:ascii="华文宋体" w:hAnsi="华文宋体" w:eastAsia="华文宋体" w:cs="华文宋体"/>
                <w:color w:val="000000"/>
                <w:sz w:val="24"/>
                <w:szCs w:val="24"/>
                <w:lang w:eastAsia="zh-CN"/>
              </w:rPr>
              <w:t>通讯</w:t>
            </w:r>
          </w:p>
        </w:tc>
      </w:tr>
      <w:tr w14:paraId="5FCA60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4" w:hRule="atLeast"/>
        </w:trPr>
        <w:tc>
          <w:tcPr>
            <w:tcW w:w="2328" w:type="dxa"/>
            <w:tcBorders>
              <w:top w:val="single" w:color="auto" w:sz="4" w:space="0"/>
              <w:left w:val="single" w:color="auto" w:sz="4" w:space="0"/>
              <w:bottom w:val="single" w:color="auto" w:sz="4" w:space="0"/>
              <w:right w:val="single" w:color="auto" w:sz="4" w:space="0"/>
            </w:tcBorders>
            <w:vAlign w:val="center"/>
          </w:tcPr>
          <w:p w14:paraId="0D665F90">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获奖证书类别</w:t>
            </w:r>
          </w:p>
        </w:tc>
        <w:tc>
          <w:tcPr>
            <w:tcW w:w="7300" w:type="dxa"/>
            <w:gridSpan w:val="4"/>
            <w:tcBorders>
              <w:top w:val="single" w:color="auto" w:sz="4" w:space="0"/>
              <w:left w:val="single" w:color="auto" w:sz="4" w:space="0"/>
              <w:bottom w:val="single" w:color="auto" w:sz="4" w:space="0"/>
              <w:right w:val="single" w:color="auto" w:sz="4" w:space="0"/>
            </w:tcBorders>
            <w:vAlign w:val="center"/>
          </w:tcPr>
          <w:p w14:paraId="46D5F0A9">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作者</w:t>
            </w:r>
            <w:r>
              <w:rPr>
                <w:rFonts w:hint="eastAsia" w:ascii="华文宋体" w:hAnsi="华文宋体" w:eastAsia="华文宋体" w:cs="华文宋体"/>
                <w:color w:val="000000"/>
                <w:sz w:val="24"/>
                <w:szCs w:val="24"/>
                <w:lang w:eastAsia="zh-CN"/>
              </w:rPr>
              <w:t>☑</w:t>
            </w:r>
            <w:r>
              <w:rPr>
                <w:rFonts w:hint="eastAsia" w:ascii="华文宋体" w:hAnsi="华文宋体" w:eastAsia="华文宋体" w:cs="华文宋体"/>
                <w:color w:val="000000"/>
                <w:sz w:val="24"/>
                <w:szCs w:val="24"/>
              </w:rPr>
              <w:t xml:space="preserve">  编辑□  主持人□  播音员□  其他□</w:t>
            </w:r>
          </w:p>
          <w:p w14:paraId="45D09868">
            <w:pPr>
              <w:snapToGrid w:val="0"/>
              <w:spacing w:line="380" w:lineRule="exact"/>
              <w:jc w:val="center"/>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（请在相应的□内打“√”）</w:t>
            </w:r>
          </w:p>
        </w:tc>
      </w:tr>
      <w:tr w14:paraId="17BF42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 w:hRule="atLeast"/>
        </w:trPr>
        <w:tc>
          <w:tcPr>
            <w:tcW w:w="9628" w:type="dxa"/>
            <w:gridSpan w:val="5"/>
            <w:tcBorders>
              <w:top w:val="single" w:color="auto" w:sz="4" w:space="0"/>
              <w:left w:val="single" w:color="auto" w:sz="4" w:space="0"/>
              <w:bottom w:val="single" w:color="auto" w:sz="4" w:space="0"/>
              <w:right w:val="single" w:color="auto" w:sz="4" w:space="0"/>
            </w:tcBorders>
          </w:tcPr>
          <w:p w14:paraId="5AFE5D46">
            <w:pPr>
              <w:snapToGrid w:val="0"/>
              <w:spacing w:line="380" w:lineRule="exact"/>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推荐理由（采写简况、作品评价、社会效果、获奖情况）</w:t>
            </w:r>
          </w:p>
          <w:p w14:paraId="5FE1CBC4">
            <w:pPr>
              <w:snapToGrid w:val="0"/>
              <w:spacing w:line="380" w:lineRule="exact"/>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 </w:t>
            </w:r>
            <w:r>
              <w:rPr>
                <w:rFonts w:hint="eastAsia" w:ascii="华文宋体" w:hAnsi="华文宋体" w:eastAsia="华文宋体" w:cs="华文宋体"/>
                <w:color w:val="000000"/>
                <w:sz w:val="24"/>
                <w:szCs w:val="24"/>
                <w:lang w:val="en-US" w:eastAsia="zh-CN"/>
              </w:rPr>
              <w:t xml:space="preserve">   </w:t>
            </w:r>
            <w:r>
              <w:rPr>
                <w:rFonts w:hint="eastAsia" w:ascii="华文宋体" w:hAnsi="华文宋体" w:eastAsia="华文宋体" w:cs="华文宋体"/>
                <w:color w:val="000000"/>
                <w:sz w:val="24"/>
                <w:szCs w:val="24"/>
              </w:rPr>
              <w:t>内蒙古自治区煤炭资源储量、产能、外运量、发电量、外送电量和风电装机均居全国第一位。在2018年全国两会上，习近平总书记指示内蒙古要把现代能源经济这篇文章做好。落实总书记嘱托，近年来内蒙古坚持新发展理念，持续加强煤炭产业转型升级，延链补链强链并进，筑牢保障国家能源安全的坚固基石。为全面反映在国家战略指引下，内蒙古发展现代能源经济成效，进一步推动经济高质量发展，扎实做好“六稳”工作、全面落实“六保”任务，记者奔赴鄂尔多斯、乌海等地深入采访权威部门和相关企业，探讨煤化工产业发展进程，全景式展现各部门举措，深入挖掘“煤炭之变”现象背后的本质。</w:t>
            </w:r>
          </w:p>
          <w:p w14:paraId="043A919E">
            <w:pPr>
              <w:snapToGrid w:val="0"/>
              <w:spacing w:line="380" w:lineRule="exact"/>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 </w:t>
            </w:r>
            <w:r>
              <w:rPr>
                <w:rFonts w:hint="eastAsia" w:ascii="华文宋体" w:hAnsi="华文宋体" w:eastAsia="华文宋体" w:cs="华文宋体"/>
                <w:color w:val="000000"/>
                <w:sz w:val="24"/>
                <w:szCs w:val="24"/>
                <w:lang w:val="en-US" w:eastAsia="zh-CN"/>
              </w:rPr>
              <w:t xml:space="preserve">   </w:t>
            </w:r>
            <w:r>
              <w:rPr>
                <w:rFonts w:hint="eastAsia" w:ascii="华文宋体" w:hAnsi="华文宋体" w:eastAsia="华文宋体" w:cs="华文宋体"/>
                <w:color w:val="000000"/>
                <w:sz w:val="24"/>
                <w:szCs w:val="24"/>
              </w:rPr>
              <w:t>本篇报道紧扣时代脉搏，以</w:t>
            </w:r>
            <w:r>
              <w:rPr>
                <w:rFonts w:hint="eastAsia" w:ascii="华文宋体" w:hAnsi="华文宋体" w:eastAsia="华文宋体" w:cs="华文宋体"/>
                <w:color w:val="000000"/>
                <w:sz w:val="24"/>
                <w:szCs w:val="24"/>
                <w:lang w:eastAsia="zh-CN"/>
              </w:rPr>
              <w:t>“</w:t>
            </w:r>
            <w:r>
              <w:rPr>
                <w:rFonts w:hint="eastAsia" w:ascii="华文宋体" w:hAnsi="华文宋体" w:eastAsia="华文宋体" w:cs="华文宋体"/>
                <w:color w:val="000000"/>
                <w:sz w:val="24"/>
                <w:szCs w:val="24"/>
              </w:rPr>
              <w:t>乌金”之变为主题精准策划，内容立意高远，叙述有个性、有深度，表达方式鲜活传神，全面生动展示了内蒙古自治区发展现代能源经济“不唯煤、延伸煤、跨越煤”的生动实践。文章选取世界首条百万吨级煤直接液化生产线、国内最大煤炭一体化项目等典型事例，分为“由黑变白 煤转化千姿百态”“由短到长 煤延链开枝散叶”和“由旧转新 煤升级动能无限”三部分进行多维度梳理和深层次阐述，并在材料取舍、事例选用、深度延伸及标题制作等方面精心打造，紧扣国家和内蒙古自治区经济高质量发展主线，切中当前经济工作的重点，深刻阐释了经济转型升级的重大现实意义。</w:t>
            </w:r>
          </w:p>
          <w:p w14:paraId="615BAEAD">
            <w:pPr>
              <w:snapToGrid w:val="0"/>
              <w:spacing w:line="380" w:lineRule="exact"/>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 </w:t>
            </w:r>
            <w:r>
              <w:rPr>
                <w:rFonts w:hint="eastAsia" w:ascii="华文宋体" w:hAnsi="华文宋体" w:eastAsia="华文宋体" w:cs="华文宋体"/>
                <w:color w:val="000000"/>
                <w:sz w:val="24"/>
                <w:szCs w:val="24"/>
                <w:lang w:val="en-US" w:eastAsia="zh-CN"/>
              </w:rPr>
              <w:t xml:space="preserve">   </w:t>
            </w:r>
            <w:r>
              <w:rPr>
                <w:rFonts w:hint="eastAsia" w:ascii="华文宋体" w:hAnsi="华文宋体" w:eastAsia="华文宋体" w:cs="华文宋体"/>
                <w:color w:val="000000"/>
                <w:sz w:val="24"/>
                <w:szCs w:val="24"/>
              </w:rPr>
              <w:t>文章按全媒体报道的形式进行了精心策划和采集编发。在完成纸媒稿件的同时，还在内蒙古日报草原云客户端采用新媒体报道的形式图文并茂进行同步刊发，迅速引起相关行业及新闻界的关注，新华网、人民网、新浪、网易等多家国内权威媒体第一时间进行了转载。</w:t>
            </w:r>
          </w:p>
          <w:p w14:paraId="18CDA049">
            <w:pPr>
              <w:snapToGrid w:val="0"/>
              <w:spacing w:line="380" w:lineRule="exact"/>
              <w:ind w:firstLine="480" w:firstLineChars="200"/>
              <w:rPr>
                <w:rFonts w:hint="eastAsia" w:ascii="华文宋体" w:hAnsi="华文宋体" w:eastAsia="华文宋体" w:cs="华文宋体"/>
                <w:color w:val="000000"/>
                <w:sz w:val="24"/>
                <w:szCs w:val="24"/>
              </w:rPr>
            </w:pPr>
            <w:r>
              <w:rPr>
                <w:rFonts w:hint="eastAsia" w:ascii="华文宋体" w:hAnsi="华文宋体" w:eastAsia="华文宋体" w:cs="华文宋体"/>
                <w:color w:val="000000"/>
                <w:sz w:val="24"/>
                <w:szCs w:val="24"/>
              </w:rPr>
              <w:t>该作品获得第三十一届中国新闻奖三等奖。</w:t>
            </w:r>
          </w:p>
          <w:p w14:paraId="0D1741C7">
            <w:pPr>
              <w:snapToGrid w:val="0"/>
              <w:spacing w:line="380" w:lineRule="exact"/>
              <w:ind w:firstLine="480" w:firstLineChars="200"/>
              <w:rPr>
                <w:rFonts w:hint="eastAsia" w:ascii="华文宋体" w:hAnsi="华文宋体" w:eastAsia="华文宋体" w:cs="华文宋体"/>
                <w:color w:val="000000"/>
                <w:sz w:val="24"/>
                <w:szCs w:val="24"/>
              </w:rPr>
            </w:pPr>
          </w:p>
        </w:tc>
      </w:tr>
    </w:tbl>
    <w:p w14:paraId="468072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583E9D"/>
    <w:rsid w:val="047B31C4"/>
    <w:rsid w:val="62583E9D"/>
    <w:rsid w:val="B4BF577F"/>
    <w:rsid w:val="FDFD6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834</Words>
  <Characters>845</Characters>
  <Lines>0</Lines>
  <Paragraphs>0</Paragraphs>
  <TotalTime>8</TotalTime>
  <ScaleCrop>false</ScaleCrop>
  <LinksUpToDate>false</LinksUpToDate>
  <CharactersWithSpaces>875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2026-04-23T19:46:00Z</dcterms:created>
  <dc:creator>李永桃</dc:creator>
  <cp:lastModifiedBy>岑崧岭</cp:lastModifiedBy>
  <dcterms:modified xsi:type="dcterms:W3CDTF">2026-04-24T02:41:22Z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D61F1A4EF20E4C2C94805DEAFFC90587_11</vt:lpwstr>
  </property>
  <property fmtid="{D5CDD505-2E9C-101B-9397-08002B2CF9AE}" pid="4" name="KSOTemplateDocerSaveRecord">
    <vt:lpwstr>eyJoZGlkIjoiZmJkNjI5YmViNjE0MWJkN2Y3NjgwMWU4NDQxZTg2OTUiLCJ1c2VySWQiOiI5MDYxODY0MTQifQ==</vt:lpwstr>
  </property>
</Properties>
</file>