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377CD7">
      <w:pPr>
        <w:pStyle w:val="2"/>
        <w:widowControl w:val="0"/>
        <w:spacing w:before="0" w:beforeAutospacing="0" w:after="0" w:afterAutospacing="0" w:line="620" w:lineRule="exact"/>
        <w:jc w:val="center"/>
        <w:rPr>
          <w:rFonts w:hint="eastAsia" w:ascii="微软雅黑" w:hAnsi="华文中宋" w:eastAsia="微软雅黑" w:cs="Times New Roman"/>
          <w:color w:val="000000"/>
          <w:kern w:val="2"/>
          <w:sz w:val="44"/>
          <w:szCs w:val="36"/>
        </w:rPr>
      </w:pPr>
      <w:r>
        <w:rPr>
          <w:rFonts w:hint="eastAsia" w:ascii="微软雅黑" w:hAnsi="华文中宋" w:eastAsia="微软雅黑" w:cs="Times New Roman"/>
          <w:color w:val="000000"/>
          <w:kern w:val="2"/>
          <w:sz w:val="44"/>
          <w:szCs w:val="36"/>
        </w:rPr>
        <w:t>视听设计（新闻版面）参评作品推荐表</w:t>
      </w:r>
    </w:p>
    <w:tbl>
      <w:tblPr>
        <w:tblStyle w:val="3"/>
        <w:tblW w:w="91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6"/>
        <w:gridCol w:w="626"/>
        <w:gridCol w:w="2142"/>
        <w:gridCol w:w="1140"/>
        <w:gridCol w:w="1560"/>
        <w:gridCol w:w="1682"/>
        <w:gridCol w:w="1103"/>
      </w:tblGrid>
      <w:tr w14:paraId="689190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exact"/>
          <w:jc w:val="center"/>
        </w:trPr>
        <w:tc>
          <w:tcPr>
            <w:tcW w:w="1532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8BFE3A6">
            <w:pPr>
              <w:widowControl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报纸</w:t>
            </w:r>
          </w:p>
        </w:tc>
        <w:tc>
          <w:tcPr>
            <w:tcW w:w="3282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E4211AA">
            <w:pPr>
              <w:widowControl/>
              <w:spacing w:line="240" w:lineRule="exact"/>
              <w:jc w:val="left"/>
              <w:rPr>
                <w:rFonts w:hint="eastAsia" w:ascii="仿宋" w:hAnsi="仿宋" w:eastAsia="仿宋" w:cs="仿宋"/>
                <w:color w:val="000000"/>
                <w:szCs w:val="15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《包头日报》</w:t>
            </w:r>
            <w:r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  <w:t>2025年12月24日</w:t>
            </w:r>
            <w:r>
              <w:rPr>
                <w:rFonts w:hint="eastAsia" w:ascii="仿宋" w:hAnsi="仿宋" w:eastAsia="仿宋"/>
                <w:color w:val="000000"/>
                <w:szCs w:val="21"/>
              </w:rPr>
              <w:t>T1版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EF4E70">
            <w:pPr>
              <w:widowControl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参评类别</w:t>
            </w:r>
          </w:p>
        </w:tc>
        <w:tc>
          <w:tcPr>
            <w:tcW w:w="27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0B62BE">
            <w:pPr>
              <w:spacing w:line="500" w:lineRule="exact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新闻版面</w:t>
            </w:r>
          </w:p>
        </w:tc>
      </w:tr>
      <w:tr w14:paraId="4C643E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1532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4E4E72">
            <w:pPr>
              <w:widowControl/>
              <w:spacing w:line="320" w:lineRule="exact"/>
              <w:jc w:val="center"/>
              <w:rPr>
                <w:rFonts w:hint="eastAsia" w:ascii="仿宋_GB2312" w:hAnsi="仿宋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3282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4AD63A">
            <w:pPr>
              <w:widowControl/>
              <w:spacing w:line="240" w:lineRule="exact"/>
              <w:jc w:val="left"/>
              <w:rPr>
                <w:rFonts w:hint="eastAsia" w:ascii="仿宋" w:hAnsi="仿宋" w:eastAsia="仿宋" w:cs="仿宋"/>
                <w:color w:val="000000"/>
                <w:szCs w:val="15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9016B0">
            <w:pPr>
              <w:widowControl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发布日期</w:t>
            </w:r>
          </w:p>
        </w:tc>
        <w:tc>
          <w:tcPr>
            <w:tcW w:w="27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3210AB">
            <w:pPr>
              <w:spacing w:line="500" w:lineRule="exact"/>
              <w:rPr>
                <w:rFonts w:hint="eastAsia" w:ascii="仿宋_GB2312" w:hAnsi="仿宋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2025年12月24日</w:t>
            </w:r>
          </w:p>
        </w:tc>
      </w:tr>
      <w:tr w14:paraId="1FA93E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5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096CCF">
            <w:pPr>
              <w:widowControl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作者</w:t>
            </w:r>
          </w:p>
        </w:tc>
        <w:tc>
          <w:tcPr>
            <w:tcW w:w="32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0B1360"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szCs w:val="15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Cs w:val="15"/>
              </w:rPr>
              <w:t>集体</w:t>
            </w:r>
            <w:r>
              <w:rPr>
                <w:rFonts w:hint="eastAsia" w:ascii="仿宋" w:hAnsi="仿宋" w:eastAsia="仿宋" w:cs="仿宋"/>
                <w:color w:val="000000"/>
                <w:szCs w:val="15"/>
                <w:lang w:eastAsia="zh-CN"/>
              </w:rPr>
              <w:t>（梁学东、张群群、张建芳、杨帆、周旭、孙聪、高轩、苗雨蔚）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7539F8">
            <w:pPr>
              <w:widowControl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编辑</w:t>
            </w:r>
          </w:p>
        </w:tc>
        <w:tc>
          <w:tcPr>
            <w:tcW w:w="27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B6AB64">
            <w:pPr>
              <w:widowControl/>
              <w:spacing w:line="240" w:lineRule="exact"/>
              <w:jc w:val="left"/>
              <w:rPr>
                <w:rFonts w:hint="eastAsia" w:ascii="华文中宋" w:hAnsi="华文中宋" w:eastAsia="华文中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Cs w:val="15"/>
              </w:rPr>
              <w:t>周旭、任燕萍、李喆</w:t>
            </w:r>
          </w:p>
        </w:tc>
      </w:tr>
      <w:tr w14:paraId="336766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9" w:hRule="exact"/>
          <w:jc w:val="center"/>
        </w:trPr>
        <w:tc>
          <w:tcPr>
            <w:tcW w:w="15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9AF69F">
            <w:pPr>
              <w:widowControl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4"/>
                <w:szCs w:val="18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18"/>
              </w:rPr>
              <w:t>版面</w:t>
            </w:r>
          </w:p>
          <w:p w14:paraId="30F22ED9">
            <w:pPr>
              <w:widowControl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18"/>
              </w:rPr>
              <w:t>名称及版次</w:t>
            </w:r>
          </w:p>
        </w:tc>
        <w:tc>
          <w:tcPr>
            <w:tcW w:w="21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E5D9A4">
            <w:pPr>
              <w:widowControl/>
              <w:snapToGrid w:val="0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T1版</w:t>
            </w:r>
            <w:bookmarkStart w:id="0" w:name="_GoBack"/>
            <w:bookmarkEnd w:id="0"/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6BD4F5">
            <w:pPr>
              <w:widowControl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2"/>
                <w:szCs w:val="16"/>
              </w:rPr>
              <w:t>版面总字数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F5E5AF">
            <w:pPr>
              <w:widowControl/>
              <w:snapToGrid w:val="0"/>
              <w:rPr>
                <w:rFonts w:hint="eastAsia" w:ascii="仿宋_GB2312" w:hAnsi="仿宋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color w:val="000000"/>
                <w:sz w:val="28"/>
                <w:szCs w:val="28"/>
                <w:lang w:val="en-US" w:eastAsia="zh-CN"/>
              </w:rPr>
              <w:t>1076</w:t>
            </w:r>
            <w:r>
              <w:rPr>
                <w:rFonts w:hint="eastAsia" w:ascii="仿宋_GB2312" w:hAnsi="仿宋" w:eastAsia="仿宋_GB2312"/>
                <w:color w:val="000000"/>
                <w:sz w:val="28"/>
                <w:szCs w:val="28"/>
              </w:rPr>
              <w:t>字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F82AD9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  <w:t>是否为</w:t>
            </w:r>
          </w:p>
          <w:p w14:paraId="00248249">
            <w:pPr>
              <w:widowControl/>
              <w:snapToGrid w:val="0"/>
              <w:rPr>
                <w:rFonts w:hint="eastAsia" w:ascii="仿宋_GB2312" w:hAnsi="仿宋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  <w:t>“三好作品”</w:t>
            </w:r>
          </w:p>
        </w:tc>
        <w:tc>
          <w:tcPr>
            <w:tcW w:w="1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9D4347">
            <w:pPr>
              <w:widowControl/>
              <w:snapToGrid w:val="0"/>
              <w:rPr>
                <w:rFonts w:hint="eastAsia" w:ascii="仿宋_GB2312" w:hAnsi="仿宋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color w:val="000000"/>
                <w:sz w:val="28"/>
                <w:szCs w:val="28"/>
              </w:rPr>
              <w:t>否</w:t>
            </w:r>
          </w:p>
        </w:tc>
      </w:tr>
      <w:tr w14:paraId="2A2032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9" w:hRule="exact"/>
          <w:jc w:val="center"/>
        </w:trPr>
        <w:tc>
          <w:tcPr>
            <w:tcW w:w="906" w:type="dxa"/>
            <w:vAlign w:val="center"/>
          </w:tcPr>
          <w:p w14:paraId="0633A49A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</w:t>
            </w:r>
          </w:p>
          <w:p w14:paraId="1DB67EB7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品</w:t>
            </w:r>
          </w:p>
          <w:p w14:paraId="77DF29D6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简</w:t>
            </w:r>
          </w:p>
          <w:p w14:paraId="6535FCC7">
            <w:pPr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介</w:t>
            </w:r>
          </w:p>
        </w:tc>
        <w:tc>
          <w:tcPr>
            <w:tcW w:w="8253" w:type="dxa"/>
            <w:gridSpan w:val="6"/>
            <w:vAlign w:val="center"/>
          </w:tcPr>
          <w:p w14:paraId="60577243">
            <w:pPr>
              <w:widowControl/>
              <w:spacing w:line="360" w:lineRule="exact"/>
              <w:ind w:firstLine="560" w:firstLineChars="200"/>
              <w:jc w:val="left"/>
              <w:rPr>
                <w:rFonts w:hint="eastAsia" w:ascii="仿宋" w:hAnsi="仿宋" w:eastAsia="仿宋"/>
                <w:w w:val="95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 w:val="28"/>
                <w:szCs w:val="28"/>
              </w:rPr>
              <w:t>特刊封面报道，以包银高铁开通为切入点，展现了区域发展的宏大叙事，兼具新闻深度与时代气象。版面设计上，标题“澎湃新动能”以有力字体凸显视觉冲击力，黄河“几字弯”的地理意象与高铁动感元素巧妙融合，形成强烈的视觉标识。文章结构清晰，从交通格局重塑到产业升级、文旅融合、开放拓展，层层递进，逻辑严密。稿件以饱满笔触将“3小时交通圈”的硬核数据与“诗与远方”的柔性叙事相结合，既有钢轨铺就的硬朗质感，又有区域联动的壮美图景。版面图文并茂、主次分明，充分体现了重大主题报道的策划深度与设计匠心。</w:t>
            </w:r>
          </w:p>
        </w:tc>
      </w:tr>
      <w:tr w14:paraId="156793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4" w:hRule="exact"/>
          <w:jc w:val="center"/>
        </w:trPr>
        <w:tc>
          <w:tcPr>
            <w:tcW w:w="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F0CB79">
            <w:pPr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 xml:space="preserve">  ︵</w:t>
            </w:r>
          </w:p>
          <w:p w14:paraId="4D23DCD9">
            <w:pPr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初推</w:t>
            </w:r>
          </w:p>
          <w:p w14:paraId="770A31CA">
            <w:pPr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评荐</w:t>
            </w:r>
          </w:p>
          <w:p w14:paraId="4B7CD317">
            <w:pPr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评理</w:t>
            </w:r>
          </w:p>
          <w:p w14:paraId="2EE7EBDD">
            <w:pPr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语由</w:t>
            </w:r>
          </w:p>
          <w:p w14:paraId="58517DD1">
            <w:pPr>
              <w:widowControl/>
              <w:spacing w:line="380" w:lineRule="exact"/>
              <w:jc w:val="center"/>
              <w:rPr>
                <w:rFonts w:hint="eastAsia" w:ascii="华文中宋" w:hAnsi="华文中宋" w:eastAsia="华文中宋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 xml:space="preserve">  ︶</w:t>
            </w:r>
          </w:p>
        </w:tc>
        <w:tc>
          <w:tcPr>
            <w:tcW w:w="825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7870B5">
            <w:pPr>
              <w:widowControl/>
              <w:spacing w:line="360" w:lineRule="exact"/>
              <w:ind w:firstLine="560" w:firstLineChars="200"/>
              <w:jc w:val="left"/>
              <w:rPr>
                <w:rFonts w:hint="eastAsia" w:ascii="华文中宋" w:hAnsi="华文中宋" w:eastAsia="华文中宋"/>
                <w:sz w:val="28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 w:val="28"/>
                <w:szCs w:val="28"/>
              </w:rPr>
              <w:t>该报道以包银高铁开通为切入点，立足区域发展宏大叙事，兼具新闻深度与时代气象。标题视觉冲击力强，视觉标识鲜明。稿件逻辑严密、层层递进，将交通格局重塑、产业升级、文旅融合、开放拓展等内容有机串联，硬核数据与柔性叙事兼备，版面图文并茂、主次分明</w:t>
            </w:r>
            <w:r>
              <w:rPr>
                <w:rFonts w:hint="eastAsia" w:ascii="仿宋" w:hAnsi="仿宋" w:eastAsia="仿宋"/>
                <w:color w:val="000000"/>
                <w:sz w:val="28"/>
                <w:szCs w:val="28"/>
                <w:lang w:eastAsia="zh-CN"/>
              </w:rPr>
              <w:t>，</w:t>
            </w:r>
            <w:r>
              <w:rPr>
                <w:rFonts w:hint="eastAsia" w:ascii="仿宋" w:hAnsi="仿宋" w:eastAsia="仿宋"/>
                <w:color w:val="000000"/>
                <w:sz w:val="28"/>
                <w:szCs w:val="28"/>
              </w:rPr>
              <w:t xml:space="preserve">整体充分体现了重大主题报道的策划深度与设计匠心。      </w:t>
            </w:r>
            <w:r>
              <w:rPr>
                <w:rFonts w:hint="eastAsia" w:ascii="华文中宋" w:hAnsi="华文中宋" w:eastAsia="华文中宋"/>
                <w:sz w:val="28"/>
                <w:szCs w:val="20"/>
              </w:rPr>
              <w:t xml:space="preserve">                              </w:t>
            </w:r>
            <w:r>
              <w:rPr>
                <w:rFonts w:hint="eastAsia" w:ascii="华文中宋" w:hAnsi="华文中宋" w:eastAsia="华文中宋"/>
                <w:sz w:val="28"/>
                <w:szCs w:val="20"/>
                <w:lang w:val="en-US" w:eastAsia="zh-CN"/>
              </w:rPr>
              <w:t xml:space="preserve">  </w:t>
            </w:r>
          </w:p>
          <w:p w14:paraId="5C1EEF26">
            <w:pPr>
              <w:widowControl/>
              <w:spacing w:line="360" w:lineRule="exact"/>
              <w:ind w:firstLine="5320" w:firstLineChars="1900"/>
              <w:jc w:val="left"/>
              <w:rPr>
                <w:rFonts w:hint="eastAsia" w:ascii="华文中宋" w:hAnsi="华文中宋" w:eastAsia="华文中宋"/>
                <w:sz w:val="28"/>
                <w:szCs w:val="20"/>
              </w:rPr>
            </w:pPr>
          </w:p>
          <w:p w14:paraId="3EACAA2A">
            <w:pPr>
              <w:widowControl/>
              <w:spacing w:line="360" w:lineRule="exact"/>
              <w:ind w:firstLine="5320" w:firstLineChars="1900"/>
              <w:jc w:val="left"/>
              <w:rPr>
                <w:rFonts w:hint="eastAsia" w:ascii="华文中宋" w:hAnsi="华文中宋" w:eastAsia="华文中宋"/>
                <w:sz w:val="28"/>
                <w:szCs w:val="20"/>
              </w:rPr>
            </w:pPr>
          </w:p>
          <w:p w14:paraId="144F7A3C">
            <w:pPr>
              <w:widowControl/>
              <w:spacing w:line="360" w:lineRule="exact"/>
              <w:ind w:firstLine="6160" w:firstLineChars="2200"/>
              <w:jc w:val="left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华文中宋" w:hAnsi="华文中宋" w:eastAsia="华文中宋"/>
                <w:sz w:val="28"/>
                <w:szCs w:val="20"/>
              </w:rPr>
              <w:t>签名：</w:t>
            </w:r>
          </w:p>
          <w:p w14:paraId="64CB2E62">
            <w:pPr>
              <w:spacing w:line="360" w:lineRule="exact"/>
              <w:ind w:firstLine="5460" w:firstLineChars="1950"/>
              <w:jc w:val="left"/>
              <w:rPr>
                <w:rFonts w:hint="eastAsia" w:ascii="华文中宋" w:hAnsi="华文中宋" w:eastAsia="华文中宋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sz w:val="28"/>
                <w:szCs w:val="20"/>
              </w:rPr>
              <w:t>（盖单位公章）</w:t>
            </w:r>
          </w:p>
          <w:p w14:paraId="4B011020">
            <w:pPr>
              <w:widowControl/>
              <w:spacing w:line="360" w:lineRule="exact"/>
              <w:ind w:firstLine="3920" w:firstLineChars="1400"/>
              <w:rPr>
                <w:rFonts w:hint="eastAsia" w:ascii="华文中宋" w:hAnsi="华文中宋" w:eastAsia="华文中宋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sz w:val="28"/>
                <w:szCs w:val="20"/>
              </w:rPr>
              <w:t xml:space="preserve">   </w:t>
            </w:r>
            <w:r>
              <w:rPr>
                <w:rFonts w:hint="eastAsia" w:ascii="华文中宋" w:hAnsi="华文中宋" w:eastAsia="华文中宋"/>
                <w:sz w:val="28"/>
                <w:szCs w:val="20"/>
                <w:lang w:val="en-US" w:eastAsia="zh-CN"/>
              </w:rPr>
              <w:t xml:space="preserve">  </w:t>
            </w:r>
            <w:r>
              <w:rPr>
                <w:rFonts w:hint="eastAsia" w:ascii="华文中宋" w:hAnsi="华文中宋" w:eastAsia="华文中宋"/>
                <w:sz w:val="28"/>
                <w:szCs w:val="20"/>
              </w:rPr>
              <w:t xml:space="preserve">  2026年    月    日 </w:t>
            </w:r>
          </w:p>
        </w:tc>
      </w:tr>
    </w:tbl>
    <w:p w14:paraId="726ED851"/>
    <w:p w14:paraId="3246A04E"/>
    <w:p w14:paraId="3B7F2FB6"/>
    <w:p w14:paraId="02FF2E09">
      <w:pPr>
        <w:rPr>
          <w:rFonts w:hint="eastAsia" w:ascii="仿宋" w:hAnsi="仿宋" w:eastAsia="仿宋"/>
          <w:color w:val="000000"/>
          <w:sz w:val="40"/>
          <w:szCs w:val="4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Wingdings 3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4FDE2D65"/>
    <w:rsid w:val="003B1A1F"/>
    <w:rsid w:val="007C5550"/>
    <w:rsid w:val="008F42E1"/>
    <w:rsid w:val="00BA633F"/>
    <w:rsid w:val="135A1E4C"/>
    <w:rsid w:val="14F450DE"/>
    <w:rsid w:val="2EDF69A7"/>
    <w:rsid w:val="3AB45C37"/>
    <w:rsid w:val="400616A7"/>
    <w:rsid w:val="4A0A4480"/>
    <w:rsid w:val="4A8E6E5F"/>
    <w:rsid w:val="4FDE2D65"/>
    <w:rsid w:val="519179F6"/>
    <w:rsid w:val="5EE2D508"/>
    <w:rsid w:val="69913E1E"/>
    <w:rsid w:val="6FFD358C"/>
    <w:rsid w:val="73BF56F0"/>
    <w:rsid w:val="7D0C3A90"/>
    <w:rsid w:val="7E454EC3"/>
    <w:rsid w:val="D2E5A798"/>
    <w:rsid w:val="DD7FEE71"/>
    <w:rsid w:val="FFFD0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nhideWhenUsed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471</Words>
  <Characters>518</Characters>
  <Lines>4</Lines>
  <Paragraphs>1</Paragraphs>
  <TotalTime>8</TotalTime>
  <ScaleCrop>false</ScaleCrop>
  <LinksUpToDate>false</LinksUpToDate>
  <CharactersWithSpaces>572</CharactersWithSpaces>
  <Application>WPS Office_12.8.2.1119_F1E327BC-269C-435d-A152-05C5408002CA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2026-04-17T10:31:00Z</dcterms:created>
  <dc:creator>王LU</dc:creator>
  <cp:lastModifiedBy>user</cp:lastModifiedBy>
  <cp:lastPrinted>2026-04-22T07:00:00Z</cp:lastPrinted>
  <dcterms:modified xsi:type="dcterms:W3CDTF">2026-04-20T21:05:36Z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2052-12.8.2.1119</vt:lpwstr>
  </property>
  <property fmtid="{D5CDD505-2E9C-101B-9397-08002B2CF9AE}" pid="3" name="ICV">
    <vt:lpwstr>F7D1A72790EF4208BEBB3492C68C6B04_11</vt:lpwstr>
  </property>
  <property fmtid="{D5CDD505-2E9C-101B-9397-08002B2CF9AE}" pid="4" name="KSOTemplateDocerSaveRecord">
    <vt:lpwstr>eyJoZGlkIjoiZmRjM2Y0YjgxMWE3ZmY1NTY0ZjIyNjUwNDI2YjcyMWEiLCJ1c2VySWQiOiI4MTI5NzYxMTUifQ==</vt:lpwstr>
  </property>
</Properties>
</file>