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1B83F">
      <w:pPr>
        <w:pStyle w:val="2"/>
        <w:widowControl w:val="0"/>
        <w:spacing w:before="0" w:beforeAutospacing="0" w:after="0" w:afterAutospacing="0" w:line="620" w:lineRule="exact"/>
        <w:jc w:val="center"/>
        <w:rPr>
          <w:rFonts w:ascii="微软雅黑" w:hAnsi="华文中宋" w:eastAsia="微软雅黑" w:cs="Times New Roman"/>
          <w:color w:val="000000"/>
          <w:kern w:val="2"/>
          <w:sz w:val="44"/>
          <w:szCs w:val="36"/>
        </w:rPr>
      </w:pPr>
      <w:r>
        <w:rPr>
          <w:rFonts w:ascii="微软雅黑" w:hAnsi="华文中宋" w:eastAsia="微软雅黑" w:cs="Times New Roman"/>
          <w:color w:val="000000"/>
          <w:kern w:val="2"/>
          <w:sz w:val="44"/>
          <w:szCs w:val="36"/>
        </w:rPr>
        <w:t>副刊</w:t>
      </w:r>
      <w:r>
        <w:rPr>
          <w:rFonts w:hint="eastAsia" w:ascii="微软雅黑" w:hAnsi="华文中宋" w:eastAsia="微软雅黑" w:cs="Times New Roman"/>
          <w:color w:val="000000"/>
          <w:kern w:val="2"/>
          <w:sz w:val="44"/>
          <w:szCs w:val="36"/>
        </w:rPr>
        <w:t>参评作品推荐表</w:t>
      </w:r>
    </w:p>
    <w:tbl>
      <w:tblPr>
        <w:tblStyle w:val="3"/>
        <w:tblW w:w="92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663"/>
        <w:gridCol w:w="1359"/>
        <w:gridCol w:w="739"/>
        <w:gridCol w:w="151"/>
        <w:gridCol w:w="572"/>
        <w:gridCol w:w="568"/>
        <w:gridCol w:w="337"/>
        <w:gridCol w:w="512"/>
        <w:gridCol w:w="591"/>
        <w:gridCol w:w="796"/>
        <w:gridCol w:w="173"/>
        <w:gridCol w:w="833"/>
        <w:gridCol w:w="142"/>
        <w:gridCol w:w="963"/>
      </w:tblGrid>
      <w:tr w14:paraId="55C4D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4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5C6B0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报纸名称</w:t>
            </w:r>
          </w:p>
        </w:tc>
        <w:tc>
          <w:tcPr>
            <w:tcW w:w="3389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AFD028">
            <w:pPr>
              <w:spacing w:line="260" w:lineRule="exact"/>
              <w:jc w:val="both"/>
              <w:rPr>
                <w:rFonts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15"/>
                <w:szCs w:val="15"/>
              </w:rPr>
              <w:t>《巴彦淖尔日报》2025年11月21日4版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EE93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9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434BE"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副刊</w:t>
            </w:r>
          </w:p>
        </w:tc>
      </w:tr>
      <w:tr w14:paraId="2FD78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589BF">
            <w:pPr>
              <w:spacing w:line="320" w:lineRule="exact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38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9FD75">
            <w:pPr>
              <w:spacing w:line="260" w:lineRule="exact"/>
              <w:rPr>
                <w:rFonts w:ascii="仿宋" w:hAnsi="仿宋" w:eastAsia="仿宋" w:cs="仿宋"/>
                <w:color w:val="000000"/>
                <w:szCs w:val="15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2629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刊发日期</w:t>
            </w:r>
          </w:p>
        </w:tc>
        <w:tc>
          <w:tcPr>
            <w:tcW w:w="29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0B80A">
            <w:pPr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2025年11月 21日</w:t>
            </w:r>
          </w:p>
        </w:tc>
      </w:tr>
      <w:tr w14:paraId="22610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B231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3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DC7C3">
            <w:pPr>
              <w:spacing w:line="260" w:lineRule="exact"/>
              <w:rPr>
                <w:rFonts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孟长云 张雯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B3DD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9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C69FB">
            <w:pPr>
              <w:spacing w:line="260" w:lineRule="exact"/>
              <w:rPr>
                <w:rFonts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Cs w:val="16"/>
              </w:rPr>
              <w:t>吕珂慧 华夏</w:t>
            </w:r>
          </w:p>
        </w:tc>
      </w:tr>
      <w:tr w14:paraId="1CCD1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exac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E14D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版面名称</w:t>
            </w:r>
          </w:p>
          <w:p w14:paraId="4A3D11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2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7995B">
            <w:pPr>
              <w:snapToGrid w:val="0"/>
              <w:jc w:val="both"/>
              <w:rPr>
                <w:rFonts w:ascii="仿宋" w:hAnsi="仿宋" w:eastAsia="仿宋"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b w:val="0"/>
                <w:bCs w:val="0"/>
                <w:color w:val="000000"/>
                <w:sz w:val="21"/>
                <w:szCs w:val="21"/>
              </w:rPr>
              <w:t>天赋河套</w:t>
            </w:r>
            <w:r>
              <w:rPr>
                <w:rFonts w:hint="eastAsia" w:ascii="仿宋" w:hAnsi="仿宋" w:eastAsia="仿宋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b w:val="0"/>
                <w:bCs w:val="0"/>
                <w:color w:val="000000"/>
                <w:sz w:val="21"/>
                <w:szCs w:val="21"/>
              </w:rPr>
              <w:t>4版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CE0D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</w:t>
            </w:r>
          </w:p>
          <w:p w14:paraId="26BED3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总字数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379DF">
            <w:pPr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6500字</w:t>
            </w: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815D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3D2114E3">
            <w:pPr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32C08">
            <w:pPr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否</w:t>
            </w:r>
          </w:p>
        </w:tc>
      </w:tr>
      <w:tr w14:paraId="04191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8" w:hRule="atLeast"/>
          <w:jc w:val="center"/>
        </w:trPr>
        <w:tc>
          <w:tcPr>
            <w:tcW w:w="824" w:type="dxa"/>
            <w:vAlign w:val="center"/>
          </w:tcPr>
          <w:p w14:paraId="34D75B2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5AD4339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4997F75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3A1233B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399" w:type="dxa"/>
            <w:gridSpan w:val="14"/>
            <w:vAlign w:val="center"/>
          </w:tcPr>
          <w:p w14:paraId="555E04FC">
            <w:pPr>
              <w:ind w:firstLine="342" w:firstLineChars="200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/>
                <w:w w:val="95"/>
                <w:sz w:val="18"/>
                <w:szCs w:val="18"/>
              </w:rPr>
              <w:t>为巴彦淖尔打造“渡·阴山”文旅品牌注入传播动能，《巴彦淖尔日报》推出“读阴山渡阴山”系列报道，本文是系列报道之一。作品以王昌龄名句“但使龙城飞将在，不教胡马度阴山”为切入点，以诗带史、以问破题，层层剖析“胡马”的历史象征、“龙城飞将”的身份考据，以及阴山在古代军事地理中的战略意义。作品通过文献考证、实地走访与诗歌解读，将边塞诗中的意象还原为鲜活的历史图景，揭示古诗背后民族融合的宏大叙事，呈现阴山深厚历史文化底蕴。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本文将历史资源转化为铸牢中华民族共同体意识的文化养分，凸显主题报道的渗透力和影响力，为巴彦淖尔</w:t>
            </w:r>
            <w:r>
              <w:rPr>
                <w:rFonts w:hint="eastAsia" w:ascii="仿宋" w:hAnsi="仿宋" w:eastAsia="仿宋"/>
                <w:w w:val="95"/>
                <w:sz w:val="18"/>
                <w:szCs w:val="18"/>
              </w:rPr>
              <w:t>“渡·阴山”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文旅品牌打造贡献媒体力量。</w:t>
            </w:r>
          </w:p>
        </w:tc>
      </w:tr>
      <w:tr w14:paraId="461FB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824" w:type="dxa"/>
            <w:vMerge w:val="restart"/>
            <w:vAlign w:val="center"/>
          </w:tcPr>
          <w:p w14:paraId="6C05F2D3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传</w:t>
            </w:r>
          </w:p>
          <w:p w14:paraId="5FFC1F18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播</w:t>
            </w:r>
          </w:p>
          <w:p w14:paraId="6332246E">
            <w:pPr>
              <w:spacing w:line="32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数</w:t>
            </w:r>
          </w:p>
          <w:p w14:paraId="5425E6F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据</w:t>
            </w:r>
          </w:p>
        </w:tc>
        <w:tc>
          <w:tcPr>
            <w:tcW w:w="2022" w:type="dxa"/>
            <w:gridSpan w:val="2"/>
            <w:vAlign w:val="center"/>
          </w:tcPr>
          <w:p w14:paraId="26E9F2A3">
            <w:pPr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平台发布网址</w:t>
            </w:r>
          </w:p>
        </w:tc>
        <w:tc>
          <w:tcPr>
            <w:tcW w:w="6377" w:type="dxa"/>
            <w:gridSpan w:val="12"/>
            <w:vAlign w:val="center"/>
          </w:tcPr>
          <w:p w14:paraId="6BBE1AFF">
            <w:pPr>
              <w:rPr>
                <w:rFonts w:ascii="仿宋" w:hAnsi="仿宋" w:eastAsia="仿宋" w:cs="仿宋"/>
                <w:sz w:val="24"/>
                <w:szCs w:val="24"/>
                <w:lang w:val="zh-CN"/>
              </w:rPr>
            </w:pPr>
            <w:r>
              <w:fldChar w:fldCharType="begin"/>
            </w:r>
            <w:r>
              <w:instrText xml:space="preserve"> HYPERLINK "https://mp.weixin.qq.com/s/irqHzBlncY88Ud8L-HJu9Q" </w:instrText>
            </w:r>
            <w:r>
              <w:fldChar w:fldCharType="separate"/>
            </w:r>
            <w:r>
              <w:rPr>
                <w:rStyle w:val="5"/>
                <w:rFonts w:hint="eastAsia" w:ascii="仿宋" w:hAnsi="仿宋" w:eastAsia="仿宋" w:cs="仿宋"/>
                <w:sz w:val="24"/>
                <w:szCs w:val="24"/>
                <w:lang w:val="zh-CN"/>
              </w:rPr>
              <w:t>https://mp.weixin.qq.com/s/irqHzBlncY88Ud8L-HJu9Q</w:t>
            </w:r>
            <w:r>
              <w:rPr>
                <w:rStyle w:val="5"/>
                <w:rFonts w:hint="eastAsia" w:ascii="仿宋" w:hAnsi="仿宋" w:eastAsia="仿宋" w:cs="仿宋"/>
                <w:sz w:val="24"/>
                <w:szCs w:val="24"/>
                <w:lang w:val="zh-CN"/>
              </w:rPr>
              <w:fldChar w:fldCharType="end"/>
            </w:r>
          </w:p>
          <w:p w14:paraId="573E38EE"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47B9A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824" w:type="dxa"/>
            <w:vMerge w:val="continue"/>
            <w:vAlign w:val="center"/>
          </w:tcPr>
          <w:p w14:paraId="366D66EE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022" w:type="dxa"/>
            <w:gridSpan w:val="2"/>
            <w:vAlign w:val="center"/>
          </w:tcPr>
          <w:p w14:paraId="530F207B">
            <w:pPr>
              <w:spacing w:line="240" w:lineRule="exact"/>
              <w:rPr>
                <w:rFonts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该平台传播量</w:t>
            </w:r>
          </w:p>
        </w:tc>
        <w:tc>
          <w:tcPr>
            <w:tcW w:w="739" w:type="dxa"/>
            <w:vAlign w:val="center"/>
          </w:tcPr>
          <w:p w14:paraId="3FEBDA79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 w:val="22"/>
                <w:szCs w:val="16"/>
              </w:rPr>
              <w:t>831</w:t>
            </w:r>
          </w:p>
        </w:tc>
        <w:tc>
          <w:tcPr>
            <w:tcW w:w="1628" w:type="dxa"/>
            <w:gridSpan w:val="4"/>
            <w:vAlign w:val="center"/>
          </w:tcPr>
          <w:p w14:paraId="0EFE4F22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该平台互动量</w:t>
            </w:r>
          </w:p>
        </w:tc>
        <w:tc>
          <w:tcPr>
            <w:tcW w:w="1899" w:type="dxa"/>
            <w:gridSpan w:val="3"/>
            <w:vAlign w:val="center"/>
          </w:tcPr>
          <w:p w14:paraId="16A1205A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317</w:t>
            </w:r>
          </w:p>
        </w:tc>
        <w:tc>
          <w:tcPr>
            <w:tcW w:w="1148" w:type="dxa"/>
            <w:gridSpan w:val="3"/>
            <w:vAlign w:val="center"/>
          </w:tcPr>
          <w:p w14:paraId="2A9C6DE7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963" w:type="dxa"/>
            <w:vAlign w:val="center"/>
          </w:tcPr>
          <w:p w14:paraId="13857594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0.13</w:t>
            </w:r>
          </w:p>
        </w:tc>
      </w:tr>
      <w:tr w14:paraId="1274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3" w:hRule="exact"/>
          <w:jc w:val="center"/>
        </w:trPr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5352C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0611618B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612C1D8A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39943144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32A39905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21BD15EC">
            <w:pPr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39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29425">
            <w:pPr>
              <w:ind w:firstLine="352" w:firstLineChars="200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该文以古诗为脉络，融合文学、历史、地理多维视角，不仅厘清了“胡马”“龙城飞将”“胡马度阴山”等经典意象的历史内涵，更赋予阴山这一地理符号以深刻的文化延展性。作品考据扎实而不晦涩，叙事生动而不浮泛，兼具学术性与可读性，是挖掘古典诗词当代价值的典型实践，体现了副刊守正创新的专业价值。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符合优秀新闻作品的价值导向与时代要求，推荐报送。</w:t>
            </w:r>
          </w:p>
          <w:p w14:paraId="03084FE5"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57A280D1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14C7E588">
            <w:pPr>
              <w:spacing w:line="360" w:lineRule="exact"/>
              <w:ind w:left="6430" w:leftChars="1862" w:hanging="2520" w:hangingChars="900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36E9D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E1593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8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01D9F">
            <w:pPr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18"/>
                <w:szCs w:val="18"/>
              </w:rPr>
              <w:t>张雯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CC33C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4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D326D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  <w:szCs w:val="18"/>
              </w:rPr>
              <w:t>13847807890</w:t>
            </w:r>
          </w:p>
        </w:tc>
      </w:tr>
      <w:tr w14:paraId="32315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F8374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8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7DD3">
            <w:pPr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18"/>
                <w:szCs w:val="18"/>
              </w:rPr>
              <w:t>0478-8526149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FE2CA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4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B6288">
            <w:pPr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18"/>
                <w:szCs w:val="18"/>
              </w:rPr>
              <w:t>bsrb_wyfk@163.com</w:t>
            </w:r>
          </w:p>
        </w:tc>
      </w:tr>
      <w:tr w14:paraId="13C83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exact"/>
          <w:jc w:val="center"/>
        </w:trPr>
        <w:tc>
          <w:tcPr>
            <w:tcW w:w="14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B8699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48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1D5F5">
            <w:pPr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18"/>
                <w:szCs w:val="18"/>
              </w:rPr>
              <w:t>内蒙古自治区巴彦淖尔市临河区五一西街新闻大厦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55779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86B85">
            <w:pPr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18"/>
                <w:szCs w:val="18"/>
              </w:rPr>
              <w:t xml:space="preserve"> 015000</w:t>
            </w:r>
          </w:p>
        </w:tc>
      </w:tr>
    </w:tbl>
    <w:p w14:paraId="1ACA2E3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altName w:val="Malgun Gothic Semilight"/>
    <w:panose1 w:val="00000000000000000000"/>
    <w:charset w:val="00"/>
    <w:family w:val="auto"/>
    <w:pitch w:val="default"/>
    <w:sig w:usb0="00000000" w:usb1="00000000" w:usb2="00000000" w:usb3="00000000" w:csb0="0004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altName w:val="微软雅黑"/>
    <w:panose1 w:val="00000000000000000000"/>
    <w:charset w:val="00"/>
    <w:family w:val="auto"/>
    <w:pitch w:val="default"/>
    <w:sig w:usb0="00000000" w:usb1="00000000" w:usb2="00000012" w:usb3="00000000" w:csb0="00040001" w:csb1="00000000"/>
  </w:font>
  <w:font w:name="KSOF89383E23">
    <w:panose1 w:val="020B0502040204020203"/>
    <w:charset w:val="86"/>
    <w:family w:val="auto"/>
    <w:pitch w:val="default"/>
    <w:sig w:usb0="00000001" w:usb1="00000000" w:usb2="00000000" w:usb3="00000000" w:csb0="00040001" w:csb1="00000000"/>
  </w:font>
  <w:font w:name="KSOFE44433F1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CD"/>
    <w:rsid w:val="00325439"/>
    <w:rsid w:val="00AA18CD"/>
    <w:rsid w:val="7F94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639</Words>
  <Characters>749</Characters>
  <Lines>7</Lines>
  <Paragraphs>2</Paragraphs>
  <TotalTime>6</TotalTime>
  <ScaleCrop>false</ScaleCrop>
  <LinksUpToDate>false</LinksUpToDate>
  <CharactersWithSpaces>862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2026-04-19T11:30:00Z</dcterms:created>
  <dc:creator>潮水</dc:creator>
  <cp:lastModifiedBy>张雯</cp:lastModifiedBy>
  <dcterms:modified xsi:type="dcterms:W3CDTF">2026-04-19T12:11:21Z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AC06DC0A65831CEC1696E06969F250BE_43</vt:lpwstr>
  </property>
  <property fmtid="{D5CDD505-2E9C-101B-9397-08002B2CF9AE}" pid="4" name="KSOTemplateDocerSaveRecord">
    <vt:lpwstr>eyJoZGlkIjoiNTgyMzY3ODk4ZWY4Y2E2NmVlYTk4MDRlZTRmZDI4MzgiLCJ1c2VySWQiOiI1NTQ4NTkwNTIifQ==</vt:lpwstr>
  </property>
</Properties>
</file>