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Nimbus Roman" w:hAnsi="Nimbus Roman" w:eastAsia="黑体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Nimbus Roman" w:hAnsi="Nimbus Roman" w:eastAsia="方正小标宋简体" w:cs="Nimbus Roman"/>
          <w:b w:val="0"/>
          <w:bCs/>
          <w:sz w:val="44"/>
          <w:szCs w:val="44"/>
        </w:rPr>
      </w:pPr>
      <w:r>
        <w:rPr>
          <w:rFonts w:hint="default" w:ascii="Nimbus Roman" w:hAnsi="Nimbus Roman" w:eastAsia="方正小标宋简体" w:cs="Nimbus Roman"/>
          <w:b w:val="0"/>
          <w:bCs/>
          <w:sz w:val="44"/>
          <w:szCs w:val="44"/>
        </w:rPr>
        <w:t>202</w:t>
      </w:r>
      <w:r>
        <w:rPr>
          <w:rFonts w:hint="eastAsia" w:ascii="Nimbus Roman" w:hAnsi="Nimbus Roman" w:eastAsia="方正小标宋简体" w:cs="Nimbus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Nimbus Roman" w:hAnsi="Nimbus Roman" w:eastAsia="方正小标宋简体" w:cs="Nimbus Roman"/>
          <w:b w:val="0"/>
          <w:bCs/>
          <w:sz w:val="44"/>
          <w:szCs w:val="44"/>
        </w:rPr>
        <w:t>年度国家社科基金项目</w:t>
      </w:r>
    </w:p>
    <w:p>
      <w:pPr>
        <w:spacing w:line="600" w:lineRule="exact"/>
        <w:jc w:val="center"/>
        <w:rPr>
          <w:rFonts w:hint="default" w:ascii="Nimbus Roman" w:hAnsi="Nimbus Roman" w:eastAsia="方正小标宋简体" w:cs="Nimbus Roman"/>
          <w:b w:val="0"/>
          <w:bCs/>
          <w:sz w:val="44"/>
          <w:szCs w:val="44"/>
        </w:rPr>
      </w:pPr>
      <w:r>
        <w:rPr>
          <w:rFonts w:hint="default" w:ascii="Nimbus Roman" w:hAnsi="Nimbus Roman" w:eastAsia="方正小标宋简体" w:cs="Nimbus Roman"/>
          <w:b w:val="0"/>
          <w:bCs/>
          <w:sz w:val="44"/>
          <w:szCs w:val="44"/>
        </w:rPr>
        <w:t>申报材料具体要求</w:t>
      </w:r>
    </w:p>
    <w:p>
      <w:pPr>
        <w:spacing w:line="600" w:lineRule="exact"/>
        <w:rPr>
          <w:rFonts w:hint="default" w:ascii="Nimbus Roman" w:hAnsi="Nimbus Roman" w:eastAsia="仿宋_GB2312" w:cs="Nimbus Roman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根据《202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sz w:val="32"/>
          <w:szCs w:val="32"/>
        </w:rPr>
        <w:t>年度国家社会科学基金项目申报公告》精神及《202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sz w:val="32"/>
          <w:szCs w:val="32"/>
        </w:rPr>
        <w:t>年国家社会科学基金年度项目申请书》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（以下简称《申请书》）</w:t>
      </w:r>
      <w:r>
        <w:rPr>
          <w:rFonts w:hint="default" w:ascii="Nimbus Roman" w:hAnsi="Nimbus Roman" w:eastAsia="仿宋_GB2312" w:cs="Nimbus Roman"/>
          <w:sz w:val="32"/>
          <w:szCs w:val="32"/>
        </w:rPr>
        <w:t>等相关申报材料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，提出</w:t>
      </w:r>
      <w:r>
        <w:rPr>
          <w:rFonts w:hint="default" w:ascii="Nimbus Roman" w:hAnsi="Nimbus Roman" w:eastAsia="仿宋_GB2312" w:cs="Nimbus Roman"/>
          <w:sz w:val="32"/>
          <w:szCs w:val="32"/>
        </w:rPr>
        <w:t>如下要求。</w:t>
      </w:r>
    </w:p>
    <w:p>
      <w:pPr>
        <w:spacing w:line="60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黑体" w:cs="Nimbus Roman"/>
          <w:sz w:val="32"/>
          <w:szCs w:val="32"/>
        </w:rPr>
        <w:t>一、纸质材料要求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1.《申请书》4份（其中1份用于自治区规划办留存，3份报送全国社科工作办），并确保线上线下《申请书》内容完全一致。纸质版《申请书》须在网络申报提交后，点击“下载申请书”打印（申请书封面“项目序号框”会自动生成项目申报序号）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。</w:t>
      </w:r>
      <w:r>
        <w:rPr>
          <w:rFonts w:hint="default" w:ascii="Nimbus Roman" w:hAnsi="Nimbus Roman" w:eastAsia="仿宋_GB2312" w:cs="Nimbus Roman"/>
          <w:sz w:val="32"/>
          <w:szCs w:val="32"/>
        </w:rPr>
        <w:t>《申请书》一律要求用计算机填写、A3纸双面印制、中缝装订，务必使用全国规划办公告附件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中</w:t>
      </w:r>
      <w:r>
        <w:rPr>
          <w:rFonts w:hint="default" w:ascii="Nimbus Roman" w:hAnsi="Nimbus Roman" w:eastAsia="仿宋_GB2312" w:cs="Nimbus Roman"/>
          <w:sz w:val="32"/>
          <w:szCs w:val="32"/>
        </w:rPr>
        <w:t>发布的新版本，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否则</w:t>
      </w:r>
      <w:r>
        <w:rPr>
          <w:rFonts w:hint="default" w:ascii="Nimbus Roman" w:hAnsi="Nimbus Roman" w:eastAsia="仿宋_GB2312" w:cs="Nimbus Roman"/>
          <w:sz w:val="32"/>
          <w:szCs w:val="32"/>
        </w:rPr>
        <w:t>将不予受理。需经所在单位审查盖章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（</w:t>
      </w:r>
      <w:r>
        <w:rPr>
          <w:rFonts w:hint="default" w:ascii="Nimbus Roman" w:hAnsi="Nimbus Roman" w:eastAsia="仿宋_GB2312" w:cs="Nimbus Roman"/>
          <w:sz w:val="32"/>
          <w:szCs w:val="32"/>
        </w:rPr>
        <w:t>要求加盖科研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管理部门</w:t>
      </w:r>
      <w:r>
        <w:rPr>
          <w:rFonts w:hint="default" w:ascii="Nimbus Roman" w:hAnsi="Nimbus Roman" w:eastAsia="仿宋_GB2312" w:cs="Nimbus Roman"/>
          <w:sz w:val="32"/>
          <w:szCs w:val="32"/>
        </w:rPr>
        <w:t>和单位两个公章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）并签署明确报送意见及日期后</w:t>
      </w:r>
      <w:r>
        <w:rPr>
          <w:rFonts w:hint="default" w:ascii="Nimbus Roman" w:hAnsi="Nimbus Roman" w:eastAsia="仿宋_GB2312" w:cs="Nimbus Roman"/>
          <w:sz w:val="32"/>
          <w:szCs w:val="32"/>
        </w:rPr>
        <w:t>统一报送我办。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2.《课题论证活页》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sz w:val="32"/>
          <w:szCs w:val="32"/>
        </w:rPr>
        <w:t>份（用于自治区规划办线下初筛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，以下简称《活页》</w:t>
      </w:r>
      <w:r>
        <w:rPr>
          <w:rFonts w:hint="default" w:ascii="Nimbus Roman" w:hAnsi="Nimbus Roman" w:eastAsia="仿宋_GB2312" w:cs="Nimbus Roman"/>
          <w:sz w:val="32"/>
          <w:szCs w:val="32"/>
        </w:rPr>
        <w:t>），一律要求用计算机填写、A3纸双面印制、中缝装订，务必使用全国规划办公告附件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中</w:t>
      </w:r>
      <w:r>
        <w:rPr>
          <w:rFonts w:hint="default" w:ascii="Nimbus Roman" w:hAnsi="Nimbus Roman" w:eastAsia="仿宋_GB2312" w:cs="Nimbus Roman"/>
          <w:sz w:val="32"/>
          <w:szCs w:val="32"/>
        </w:rPr>
        <w:t>发布的新版本，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否则</w:t>
      </w:r>
      <w:r>
        <w:rPr>
          <w:rFonts w:hint="default" w:ascii="Nimbus Roman" w:hAnsi="Nimbus Roman" w:eastAsia="仿宋_GB2312" w:cs="Nimbus Roman"/>
          <w:sz w:val="32"/>
          <w:szCs w:val="32"/>
        </w:rPr>
        <w:t>将不予受理。请务必填写“课题名称”一栏，否则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将</w:t>
      </w:r>
      <w:r>
        <w:rPr>
          <w:rFonts w:hint="default" w:ascii="Nimbus Roman" w:hAnsi="Nimbus Roman" w:eastAsia="仿宋_GB2312" w:cs="Nimbus Roman"/>
          <w:sz w:val="32"/>
          <w:szCs w:val="32"/>
        </w:rPr>
        <w:t>不予受理。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3.各单位按学科从平台导出的汇总表（保留申报材料主要信息即可，详见附件2）及按照各单位实际申报情况填写的《202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sz w:val="32"/>
          <w:szCs w:val="32"/>
        </w:rPr>
        <w:t>年度国家社科基金项目申报材料统计表（分学科统计）》（详见附件3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，以下简称《统计表》</w:t>
      </w:r>
      <w:r>
        <w:rPr>
          <w:rFonts w:hint="default" w:ascii="Nimbus Roman" w:hAnsi="Nimbus Roman" w:eastAsia="仿宋_GB2312" w:cs="Nimbus Roman"/>
          <w:sz w:val="32"/>
          <w:szCs w:val="32"/>
        </w:rPr>
        <w:t>）。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b w:val="0"/>
          <w:bCs w:val="0"/>
          <w:sz w:val="32"/>
          <w:szCs w:val="32"/>
        </w:rPr>
      </w:pPr>
      <w:r>
        <w:rPr>
          <w:rFonts w:hint="default" w:ascii="Nimbus Roman" w:hAnsi="Nimbus Roman" w:eastAsia="仿宋_GB2312" w:cs="Nimbus Roman"/>
          <w:b w:val="0"/>
          <w:bCs w:val="0"/>
          <w:sz w:val="32"/>
          <w:szCs w:val="32"/>
        </w:rPr>
        <w:t>4.纸质材料按如下方式分为两部分打包报送：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一部分为3份《申请书》，采用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“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仿宋_GB2312" w:cs="Nimbus Roman"/>
          <w:sz w:val="32"/>
          <w:szCs w:val="32"/>
        </w:rPr>
        <w:t>夹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2”</w:t>
      </w:r>
      <w:r>
        <w:rPr>
          <w:rFonts w:hint="default" w:ascii="Nimbus Roman" w:hAnsi="Nimbus Roman" w:eastAsia="仿宋_GB2312" w:cs="Nimbus Roman"/>
          <w:sz w:val="32"/>
          <w:szCs w:val="32"/>
        </w:rPr>
        <w:t>方式叠放,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即</w:t>
      </w:r>
      <w:r>
        <w:rPr>
          <w:rFonts w:hint="default" w:ascii="Nimbus Roman" w:hAnsi="Nimbus Roman" w:eastAsia="仿宋_GB2312" w:cs="Nimbus Roman"/>
          <w:sz w:val="32"/>
          <w:szCs w:val="32"/>
        </w:rPr>
        <w:t>将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sz w:val="32"/>
          <w:szCs w:val="32"/>
        </w:rPr>
        <w:t>份《申请书》单独叠放在一起,然后夹在另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仿宋_GB2312" w:cs="Nimbus Roman"/>
          <w:sz w:val="32"/>
          <w:szCs w:val="32"/>
        </w:rPr>
        <w:t>份《申请书》中缝装订处,以免损坏封面页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  <w:highlight w:val="none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另一部分，含其余1份《申请书》和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sz w:val="32"/>
          <w:szCs w:val="32"/>
        </w:rPr>
        <w:t>份活页。采用“1夹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sz w:val="32"/>
          <w:szCs w:val="32"/>
        </w:rPr>
        <w:t>”方式叠放，即打开一本申请书中缝装订处，将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sz w:val="32"/>
          <w:szCs w:val="32"/>
        </w:rPr>
        <w:t>份活页放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</w:rPr>
        <w:t>入。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</w:rPr>
        <w:t>以上纸质材料</w:t>
      </w:r>
      <w:r>
        <w:rPr>
          <w:rFonts w:hint="eastAsia" w:ascii="Nimbus Roman" w:hAnsi="Nimbus Roman" w:eastAsia="仿宋_GB2312" w:cs="Nimbus Roman"/>
          <w:color w:val="auto"/>
          <w:sz w:val="32"/>
          <w:szCs w:val="32"/>
          <w:highlight w:val="none"/>
          <w:lang w:eastAsia="zh-CN"/>
        </w:rPr>
        <w:t>需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eastAsia="zh-CN"/>
        </w:rPr>
        <w:t>分学科并按申报序号顺序（小号在上）摆放打包，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</w:rPr>
        <w:t>每学科材料上附各学科汇总表（附件2）。</w:t>
      </w:r>
      <w:r>
        <w:rPr>
          <w:rFonts w:hint="eastAsia" w:ascii="Nimbus Roman" w:hAnsi="Nimbus Roman" w:eastAsia="仿宋_GB2312" w:cs="Nimbus Roman"/>
          <w:color w:val="auto"/>
          <w:sz w:val="32"/>
          <w:szCs w:val="32"/>
          <w:highlight w:val="none"/>
          <w:lang w:eastAsia="zh-CN"/>
        </w:rPr>
        <w:t>整体材料上附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《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eastAsia="zh-CN"/>
        </w:rPr>
        <w:t>统计表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》（附件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Nimbus Roman" w:hAnsi="Nimbus Roman" w:eastAsia="黑体" w:cs="Nimbus Roman"/>
          <w:sz w:val="32"/>
          <w:szCs w:val="32"/>
          <w:highlight w:val="none"/>
        </w:rPr>
      </w:pPr>
      <w:r>
        <w:rPr>
          <w:rFonts w:hint="default" w:ascii="Nimbus Roman" w:hAnsi="Nimbus Roman" w:eastAsia="黑体" w:cs="Nimbus Roman"/>
          <w:sz w:val="32"/>
          <w:szCs w:val="32"/>
          <w:highlight w:val="none"/>
        </w:rPr>
        <w:t>电子材料申报要求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  <w:highlight w:val="none"/>
        </w:rPr>
      </w:pP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eastAsia="zh-CN"/>
        </w:rPr>
        <w:t>《汇总表》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（附件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）及《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eastAsia="zh-CN"/>
        </w:rPr>
        <w:t>统计表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》（附件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Nimbus Roman" w:hAnsi="Nimbus Roman" w:eastAsia="仿宋_GB2312" w:cs="Nimbus Roman"/>
          <w:sz w:val="32"/>
          <w:szCs w:val="32"/>
          <w:highlight w:val="none"/>
          <w:lang w:eastAsia="zh-CN"/>
        </w:rPr>
        <w:t>）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eastAsia="zh-CN"/>
        </w:rPr>
        <w:t>电子版，通过电子邮件报送，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val="en-US" w:eastAsia="zh-CN"/>
        </w:rPr>
        <w:t>截止时间为</w:t>
      </w:r>
      <w:r>
        <w:rPr>
          <w:rFonts w:hint="eastAsia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时前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val="en-US" w:eastAsia="zh-CN"/>
        </w:rPr>
        <w:t>，请于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</w:rPr>
        <w:t>邮件主题注明“×××单位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eastAsia="zh-CN"/>
        </w:rPr>
        <w:t>申报材料汇总表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</w:rPr>
        <w:t>”，发送数据要一次完成，切勿反复变动。</w:t>
      </w:r>
    </w:p>
    <w:p>
      <w:pPr>
        <w:spacing w:line="600" w:lineRule="exact"/>
        <w:ind w:firstLine="645"/>
        <w:rPr>
          <w:rFonts w:hint="default" w:ascii="Nimbus Roman" w:hAnsi="Nimbus Roman" w:eastAsia="仿宋_GB2312" w:cs="Nimbus Roman"/>
          <w:sz w:val="32"/>
          <w:szCs w:val="32"/>
          <w:highlight w:val="none"/>
        </w:rPr>
      </w:pP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eastAsia="zh-CN"/>
        </w:rPr>
        <w:t>电子邮箱：</w:t>
      </w:r>
      <w:r>
        <w:rPr>
          <w:rFonts w:hint="default" w:ascii="Nimbus Roman" w:hAnsi="Nimbus Roman" w:eastAsia="仿宋_GB2312" w:cs="Nimbus Roman"/>
          <w:sz w:val="32"/>
          <w:szCs w:val="32"/>
          <w:highlight w:val="none"/>
          <w:lang w:val="en-US" w:eastAsia="zh-CN"/>
        </w:rPr>
        <w:t>nmglilunchu@163.com</w:t>
      </w:r>
    </w:p>
    <w:p>
      <w:pPr>
        <w:ind w:firstLine="4800" w:firstLineChars="1500"/>
        <w:rPr>
          <w:rFonts w:hint="default" w:ascii="Nimbus Roman" w:hAnsi="Nimbus Roman" w:eastAsia="仿宋_GB2312" w:cs="Nimbus Roman"/>
          <w:sz w:val="32"/>
          <w:szCs w:val="32"/>
        </w:rPr>
      </w:pPr>
    </w:p>
    <w:p>
      <w:pPr>
        <w:ind w:firstLine="4800" w:firstLineChars="1500"/>
        <w:rPr>
          <w:rFonts w:hint="default" w:ascii="Nimbus Roman" w:hAnsi="Nimbus Roman" w:eastAsia="仿宋_GB2312" w:cs="Nimbus Roman"/>
          <w:sz w:val="32"/>
          <w:szCs w:val="32"/>
        </w:rPr>
      </w:pPr>
    </w:p>
    <w:p>
      <w:pPr>
        <w:ind w:firstLine="4800" w:firstLineChars="1500"/>
        <w:rPr>
          <w:rFonts w:hint="default" w:ascii="Nimbus Roman" w:hAnsi="Nimbus Roman" w:eastAsia="仿宋_GB2312" w:cs="Nimbus Roman"/>
          <w:sz w:val="32"/>
          <w:szCs w:val="32"/>
        </w:rPr>
      </w:pPr>
    </w:p>
    <w:p>
      <w:pPr>
        <w:rPr>
          <w:rFonts w:hint="default" w:ascii="Nimbus Roman" w:hAnsi="Nimbus Roman" w:cs="Nimbus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A78C5"/>
    <w:multiLevelType w:val="singleLevel"/>
    <w:tmpl w:val="FD7A78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AA"/>
    <w:rsid w:val="00624FC4"/>
    <w:rsid w:val="00837749"/>
    <w:rsid w:val="00AA14AA"/>
    <w:rsid w:val="00FD45F0"/>
    <w:rsid w:val="1FFEE807"/>
    <w:rsid w:val="35EB9E0A"/>
    <w:rsid w:val="373F35A1"/>
    <w:rsid w:val="3BDB753C"/>
    <w:rsid w:val="3DFCFD8C"/>
    <w:rsid w:val="3FCF929C"/>
    <w:rsid w:val="3FFDFB13"/>
    <w:rsid w:val="5B2E5C7E"/>
    <w:rsid w:val="5E6BCCE9"/>
    <w:rsid w:val="5EFFAB6A"/>
    <w:rsid w:val="66EF8E58"/>
    <w:rsid w:val="67AF12EF"/>
    <w:rsid w:val="680FCDA8"/>
    <w:rsid w:val="6AF6AA02"/>
    <w:rsid w:val="6B9FB721"/>
    <w:rsid w:val="6BB692D9"/>
    <w:rsid w:val="6D7F73B1"/>
    <w:rsid w:val="6EEFF38E"/>
    <w:rsid w:val="6FDE6FE4"/>
    <w:rsid w:val="70D65CD4"/>
    <w:rsid w:val="76FF6DCA"/>
    <w:rsid w:val="776B57BB"/>
    <w:rsid w:val="77FB7D3E"/>
    <w:rsid w:val="79F94918"/>
    <w:rsid w:val="79FF5279"/>
    <w:rsid w:val="7B743759"/>
    <w:rsid w:val="7CFD28C8"/>
    <w:rsid w:val="7DBF4D4E"/>
    <w:rsid w:val="7EF72572"/>
    <w:rsid w:val="7F5BB54E"/>
    <w:rsid w:val="7F793F9E"/>
    <w:rsid w:val="7FB7E4F1"/>
    <w:rsid w:val="7FBF84AB"/>
    <w:rsid w:val="7FDB4BD2"/>
    <w:rsid w:val="7FDBA6F0"/>
    <w:rsid w:val="7FEF272C"/>
    <w:rsid w:val="7FEF7D38"/>
    <w:rsid w:val="7FF79F83"/>
    <w:rsid w:val="7FFBA511"/>
    <w:rsid w:val="7FFE557C"/>
    <w:rsid w:val="7FFF3D05"/>
    <w:rsid w:val="9FB1C326"/>
    <w:rsid w:val="9FFFAB0C"/>
    <w:rsid w:val="AF3FF8DD"/>
    <w:rsid w:val="BBB7E6A4"/>
    <w:rsid w:val="D35D3DC6"/>
    <w:rsid w:val="DDEC31DC"/>
    <w:rsid w:val="DFEB7FBA"/>
    <w:rsid w:val="DFFF4388"/>
    <w:rsid w:val="EBFD38D8"/>
    <w:rsid w:val="EFFB37B7"/>
    <w:rsid w:val="EFFF810B"/>
    <w:rsid w:val="F1FF83B4"/>
    <w:rsid w:val="F3D40A76"/>
    <w:rsid w:val="F7A7B8F9"/>
    <w:rsid w:val="F7FB6C7B"/>
    <w:rsid w:val="F9FF9F30"/>
    <w:rsid w:val="FBCFBCE9"/>
    <w:rsid w:val="FBFE4C28"/>
    <w:rsid w:val="FCFFFC7C"/>
    <w:rsid w:val="FD49866B"/>
    <w:rsid w:val="FE3CFC95"/>
    <w:rsid w:val="FE77FE4E"/>
    <w:rsid w:val="FEFDB959"/>
    <w:rsid w:val="FFAB5077"/>
    <w:rsid w:val="FFE415B8"/>
    <w:rsid w:val="FFF1EB68"/>
    <w:rsid w:val="FFF5402A"/>
    <w:rsid w:val="FF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659</Characters>
  <Lines>5</Lines>
  <Paragraphs>1</Paragraphs>
  <TotalTime>4</TotalTime>
  <ScaleCrop>false</ScaleCrop>
  <LinksUpToDate>false</LinksUpToDate>
  <CharactersWithSpaces>773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2022-01-21T07:40:00Z</dcterms:created>
  <dc:creator>ll</dc:creator>
  <cp:lastModifiedBy>user</cp:lastModifiedBy>
  <cp:lastPrinted>2024-04-16T17:49:00Z</cp:lastPrinted>
  <dcterms:modified xsi:type="dcterms:W3CDTF">2026-05-07T11:13:25Z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