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val="0"/>
        <w:wordWrap/>
        <w:overflowPunct/>
        <w:topLinePunct w:val="0"/>
        <w:autoSpaceDE w:val="0"/>
        <w:autoSpaceDN w:val="0"/>
        <w:bidi w:val="0"/>
        <w:adjustRightInd w:val="0"/>
        <w:snapToGrid w:val="0"/>
        <w:spacing w:line="332" w:lineRule="auto"/>
        <w:ind w:left="0" w:right="0" w:firstLine="0"/>
        <w:jc w:val="center"/>
        <w:textAlignment w:val="baseline"/>
        <w:rPr>
          <w:rFonts w:hint="eastAsia" w:ascii="仿宋" w:hAnsi="仿宋" w:eastAsia="仿宋" w:cs="仿宋"/>
          <w:spacing w:val="-1"/>
          <w:sz w:val="36"/>
          <w:szCs w:val="36"/>
          <w:highlight w:val="none"/>
          <w:lang w:val="en-US" w:eastAsia="zh-CN"/>
          <w14:textOutline w14:w="6531" w14:cap="flat" w14:cmpd="sng">
            <w14:solidFill>
              <w14:srgbClr w14:val="000000"/>
            </w14:solidFill>
            <w14:prstDash w14:val="solid"/>
            <w14:miter w14:val="0"/>
          </w14:textOutline>
        </w:rPr>
      </w:pPr>
    </w:p>
    <w:p>
      <w:pPr>
        <w:bidi w:val="0"/>
        <w:jc w:val="center"/>
        <w:rPr>
          <w:rFonts w:hint="eastAsia" w:ascii="仿宋" w:hAnsi="仿宋" w:eastAsia="仿宋" w:cs="仿宋"/>
          <w:b/>
          <w:bCs/>
          <w:sz w:val="60"/>
          <w:szCs w:val="60"/>
          <w:highlight w:val="none"/>
          <w:lang w:val="en-US" w:eastAsia="zh-CN"/>
        </w:rPr>
      </w:pPr>
      <w:r>
        <w:rPr>
          <w:rFonts w:hint="eastAsia" w:ascii="仿宋" w:hAnsi="仿宋" w:eastAsia="仿宋" w:cs="仿宋"/>
          <w:b/>
          <w:bCs/>
          <w:sz w:val="60"/>
          <w:szCs w:val="60"/>
          <w:highlight w:val="none"/>
          <w:lang w:val="en-US" w:eastAsia="zh-CN"/>
        </w:rPr>
        <w:t>中国石油天然气股份有限公司</w:t>
      </w:r>
    </w:p>
    <w:p>
      <w:pPr>
        <w:bidi w:val="0"/>
        <w:jc w:val="center"/>
        <w:rPr>
          <w:rFonts w:hint="eastAsia" w:ascii="仿宋" w:hAnsi="仿宋" w:eastAsia="仿宋" w:cs="仿宋"/>
          <w:b/>
          <w:bCs/>
          <w:sz w:val="60"/>
          <w:szCs w:val="60"/>
          <w:highlight w:val="none"/>
          <w:lang w:val="en-US" w:eastAsia="zh-CN"/>
        </w:rPr>
      </w:pPr>
      <w:r>
        <w:rPr>
          <w:rFonts w:hint="eastAsia" w:ascii="仿宋" w:hAnsi="仿宋" w:eastAsia="仿宋" w:cs="仿宋"/>
          <w:b/>
          <w:bCs/>
          <w:sz w:val="60"/>
          <w:szCs w:val="60"/>
          <w:highlight w:val="none"/>
          <w:lang w:val="en-US" w:eastAsia="zh-CN"/>
        </w:rPr>
        <w:t>呼和浩特石化分公司</w:t>
      </w:r>
    </w:p>
    <w:p>
      <w:pPr>
        <w:bidi w:val="0"/>
        <w:jc w:val="center"/>
        <w:rPr>
          <w:rFonts w:hint="eastAsia" w:ascii="仿宋" w:hAnsi="仿宋" w:eastAsia="仿宋" w:cs="仿宋"/>
          <w:b/>
          <w:bCs/>
          <w:sz w:val="60"/>
          <w:szCs w:val="60"/>
          <w:highlight w:val="none"/>
          <w:lang w:val="en-US" w:eastAsia="zh-CN"/>
        </w:rPr>
      </w:pPr>
    </w:p>
    <w:p>
      <w:pPr>
        <w:bidi w:val="0"/>
        <w:jc w:val="center"/>
        <w:rPr>
          <w:rFonts w:hint="eastAsia" w:ascii="仿宋" w:hAnsi="仿宋" w:eastAsia="仿宋" w:cs="仿宋"/>
          <w:b/>
          <w:bCs/>
          <w:sz w:val="60"/>
          <w:szCs w:val="60"/>
          <w:highlight w:val="none"/>
          <w:lang w:val="en-US" w:eastAsia="zh-CN"/>
        </w:rPr>
      </w:pPr>
      <w:r>
        <w:rPr>
          <w:rFonts w:hint="eastAsia" w:ascii="仿宋" w:hAnsi="仿宋" w:eastAsia="仿宋" w:cs="仿宋"/>
          <w:b/>
          <w:bCs/>
          <w:sz w:val="60"/>
          <w:szCs w:val="60"/>
          <w:highlight w:val="none"/>
          <w:lang w:val="en-US" w:eastAsia="zh-CN"/>
        </w:rPr>
        <w:t>放射源专项应急预案</w:t>
      </w:r>
    </w:p>
    <w:p>
      <w:pPr>
        <w:rPr>
          <w:rFonts w:hint="eastAsia" w:ascii="仿宋" w:hAnsi="仿宋" w:eastAsia="仿宋" w:cs="仿宋"/>
          <w:highlight w:val="none"/>
        </w:rPr>
      </w:pPr>
    </w:p>
    <w:p>
      <w:pPr>
        <w:jc w:val="center"/>
        <w:rPr>
          <w:rFonts w:hint="eastAsia" w:ascii="仿宋" w:hAnsi="仿宋" w:eastAsia="仿宋" w:cs="仿宋"/>
          <w:highlight w:val="none"/>
          <w:lang w:eastAsia="zh-CN"/>
        </w:rPr>
      </w:pPr>
      <w:r>
        <w:rPr>
          <w:rFonts w:hint="eastAsia" w:ascii="仿宋" w:hAnsi="仿宋" w:eastAsia="仿宋" w:cs="仿宋"/>
          <w:highlight w:val="none"/>
          <w:lang w:eastAsia="zh-CN"/>
        </w:rPr>
        <w:drawing>
          <wp:inline distT="0" distB="0" distL="114300" distR="114300">
            <wp:extent cx="5253990" cy="2823845"/>
            <wp:effectExtent l="0" t="0" r="0" b="0"/>
            <wp:docPr id="140" name="图片 140" descr="0a0d0ba1f902dea3f0bc015201e51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0a0d0ba1f902dea3f0bc015201e513f"/>
                    <pic:cNvPicPr>
                      <a:picLocks noChangeAspect="1"/>
                    </pic:cNvPicPr>
                  </pic:nvPicPr>
                  <pic:blipFill>
                    <a:blip r:embed="rId6"/>
                    <a:srcRect t="11699" b="34940"/>
                    <a:stretch>
                      <a:fillRect/>
                    </a:stretch>
                  </pic:blipFill>
                  <pic:spPr>
                    <a:xfrm>
                      <a:off x="0" y="0"/>
                      <a:ext cx="5253990" cy="2823845"/>
                    </a:xfrm>
                    <a:prstGeom prst="rect">
                      <a:avLst/>
                    </a:prstGeom>
                  </pic:spPr>
                </pic:pic>
              </a:graphicData>
            </a:graphic>
          </wp:inline>
        </w:drawing>
      </w: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pageBreakBefore w:val="0"/>
        <w:widowControl/>
        <w:kinsoku/>
        <w:wordWrap/>
        <w:overflowPunct/>
        <w:topLinePunct w:val="0"/>
        <w:autoSpaceDE w:val="0"/>
        <w:autoSpaceDN w:val="0"/>
        <w:bidi w:val="0"/>
        <w:adjustRightInd w:val="0"/>
        <w:snapToGrid w:val="0"/>
        <w:spacing w:line="360" w:lineRule="auto"/>
        <w:ind w:firstLine="803" w:firstLineChars="200"/>
        <w:jc w:val="both"/>
        <w:textAlignment w:val="baseline"/>
        <w:rPr>
          <w:rFonts w:hint="eastAsia" w:ascii="仿宋" w:hAnsi="仿宋" w:eastAsia="仿宋" w:cs="仿宋"/>
          <w:b/>
          <w:bCs/>
          <w:snapToGrid w:val="0"/>
          <w:color w:val="auto"/>
          <w:kern w:val="0"/>
          <w:sz w:val="40"/>
          <w:szCs w:val="40"/>
          <w:highlight w:val="none"/>
          <w:lang w:val="en-US" w:eastAsia="zh-CN"/>
        </w:rPr>
      </w:pPr>
      <w:r>
        <w:rPr>
          <w:rFonts w:hint="eastAsia" w:ascii="仿宋" w:hAnsi="仿宋" w:eastAsia="仿宋" w:cs="仿宋"/>
          <w:b/>
          <w:bCs/>
          <w:snapToGrid w:val="0"/>
          <w:color w:val="auto"/>
          <w:kern w:val="0"/>
          <w:sz w:val="40"/>
          <w:szCs w:val="40"/>
          <w:highlight w:val="none"/>
          <w:lang w:val="en-US" w:eastAsia="zh-CN"/>
        </w:rPr>
        <w:t>企业名称：中国石油天然气股份有限公司</w:t>
      </w:r>
    </w:p>
    <w:p>
      <w:pPr>
        <w:pageBreakBefore w:val="0"/>
        <w:widowControl/>
        <w:kinsoku/>
        <w:wordWrap/>
        <w:overflowPunct/>
        <w:topLinePunct w:val="0"/>
        <w:autoSpaceDE w:val="0"/>
        <w:autoSpaceDN w:val="0"/>
        <w:bidi w:val="0"/>
        <w:adjustRightInd w:val="0"/>
        <w:snapToGrid w:val="0"/>
        <w:spacing w:line="360" w:lineRule="auto"/>
        <w:ind w:firstLine="803" w:firstLineChars="200"/>
        <w:jc w:val="center"/>
        <w:textAlignment w:val="baseline"/>
        <w:rPr>
          <w:rFonts w:hint="eastAsia" w:ascii="仿宋" w:hAnsi="仿宋" w:eastAsia="仿宋" w:cs="仿宋"/>
          <w:b/>
          <w:bCs/>
          <w:snapToGrid w:val="0"/>
          <w:color w:val="auto"/>
          <w:kern w:val="0"/>
          <w:sz w:val="40"/>
          <w:szCs w:val="40"/>
          <w:highlight w:val="none"/>
          <w:lang w:val="en-US" w:eastAsia="zh-CN"/>
        </w:rPr>
      </w:pPr>
      <w:r>
        <w:rPr>
          <w:rFonts w:hint="eastAsia" w:ascii="仿宋" w:hAnsi="仿宋" w:eastAsia="仿宋" w:cs="仿宋"/>
          <w:b/>
          <w:bCs/>
          <w:snapToGrid w:val="0"/>
          <w:color w:val="auto"/>
          <w:kern w:val="0"/>
          <w:sz w:val="40"/>
          <w:szCs w:val="40"/>
          <w:highlight w:val="none"/>
          <w:lang w:val="en-US" w:eastAsia="zh-CN"/>
        </w:rPr>
        <w:t xml:space="preserve">         呼和浩特石化分公司</w:t>
      </w:r>
    </w:p>
    <w:p>
      <w:pPr>
        <w:pageBreakBefore w:val="0"/>
        <w:widowControl/>
        <w:kinsoku/>
        <w:wordWrap/>
        <w:overflowPunct/>
        <w:topLinePunct w:val="0"/>
        <w:autoSpaceDE w:val="0"/>
        <w:autoSpaceDN w:val="0"/>
        <w:bidi w:val="0"/>
        <w:adjustRightInd w:val="0"/>
        <w:snapToGrid w:val="0"/>
        <w:spacing w:line="360" w:lineRule="auto"/>
        <w:ind w:firstLine="803" w:firstLineChars="200"/>
        <w:jc w:val="both"/>
        <w:textAlignment w:val="baseline"/>
        <w:rPr>
          <w:rFonts w:hint="eastAsia" w:ascii="仿宋" w:hAnsi="仿宋" w:eastAsia="仿宋" w:cs="仿宋"/>
          <w:b/>
          <w:bCs/>
          <w:snapToGrid w:val="0"/>
          <w:color w:val="auto"/>
          <w:kern w:val="0"/>
          <w:sz w:val="40"/>
          <w:szCs w:val="40"/>
          <w:highlight w:val="none"/>
          <w:lang w:val="en-US" w:eastAsia="zh-CN"/>
        </w:rPr>
      </w:pPr>
      <w:r>
        <w:rPr>
          <w:rFonts w:hint="eastAsia" w:ascii="仿宋" w:hAnsi="仿宋" w:eastAsia="仿宋" w:cs="仿宋"/>
          <w:b/>
          <w:bCs/>
          <w:snapToGrid w:val="0"/>
          <w:color w:val="auto"/>
          <w:kern w:val="0"/>
          <w:sz w:val="40"/>
          <w:szCs w:val="40"/>
          <w:highlight w:val="none"/>
          <w:lang w:val="en-US" w:eastAsia="zh-CN"/>
        </w:rPr>
        <w:t>编制日期：     二〇二六年一月</w:t>
      </w: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b/>
          <w:bCs/>
          <w:sz w:val="32"/>
          <w:szCs w:val="32"/>
          <w:highlight w:val="none"/>
          <w:lang w:val="en-US" w:eastAsia="zh-CN"/>
        </w:rPr>
      </w:pP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b/>
          <w:bCs/>
          <w:sz w:val="32"/>
          <w:szCs w:val="32"/>
          <w:highlight w:val="none"/>
          <w:lang w:val="en-US" w:eastAsia="zh-CN"/>
        </w:rPr>
      </w:pP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b/>
          <w:bCs/>
          <w:sz w:val="32"/>
          <w:szCs w:val="32"/>
          <w:highlight w:val="none"/>
          <w:lang w:val="en-US" w:eastAsia="zh-CN"/>
        </w:rPr>
      </w:pPr>
      <w:r>
        <w:rPr>
          <w:rFonts w:hint="eastAsia" w:ascii="仿宋" w:hAnsi="仿宋" w:eastAsia="仿宋" w:cs="仿宋"/>
          <w:b/>
          <w:bCs/>
          <w:sz w:val="32"/>
          <w:szCs w:val="32"/>
          <w:highlight w:val="none"/>
          <w:lang w:val="en-US" w:eastAsia="zh-CN"/>
        </w:rPr>
        <w:t>中国石油天然气股份有限公司呼和浩特石化分公司</w:t>
      </w: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b/>
          <w:bCs/>
          <w:sz w:val="32"/>
          <w:szCs w:val="32"/>
          <w:highlight w:val="none"/>
          <w:lang w:val="en-US" w:eastAsia="zh-CN"/>
        </w:rPr>
      </w:pPr>
      <w:r>
        <w:rPr>
          <w:rFonts w:hint="eastAsia" w:ascii="仿宋" w:hAnsi="仿宋" w:eastAsia="仿宋" w:cs="仿宋"/>
          <w:b/>
          <w:bCs/>
          <w:sz w:val="32"/>
          <w:szCs w:val="32"/>
          <w:highlight w:val="none"/>
          <w:lang w:val="en-US" w:eastAsia="zh-CN"/>
        </w:rPr>
        <w:t>放射源专项应急预案</w:t>
      </w: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sz w:val="32"/>
          <w:szCs w:val="32"/>
          <w:highlight w:val="none"/>
          <w:lang w:val="en-US" w:eastAsia="zh-CN"/>
        </w:rPr>
      </w:pPr>
      <w:r>
        <w:rPr>
          <w:rFonts w:hint="eastAsia" w:ascii="仿宋" w:hAnsi="仿宋" w:eastAsia="仿宋" w:cs="仿宋"/>
          <w:b/>
          <w:bCs/>
          <w:sz w:val="32"/>
          <w:szCs w:val="32"/>
          <w:highlight w:val="none"/>
          <w:lang w:val="en-US" w:eastAsia="zh-CN"/>
        </w:rPr>
        <w:t>批准书</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为了进一步提升中国石油天然气股份有限公司呼和浩特石化分公司放射源辐射专项应急能力，指导公司及所属各部门及时正确应对辐射类突发事件和险情，确保遇到突发事件时应对有序、处置有方，有效保护广大员工、周边群众的生命安全和国家、个人财产安全，保护生态环境和资源，把各种损失降至最低程度，根据根据《关于加强化工企业辐射事故应急工作的通知》等有关要求，按照《化工企业辐射事故应急预案格式和内容（试行）》要求组织编制《中国石油天然气股份有限公司呼和浩特石化分公司放射源辐射专项应急预案》，以下简称《辐射专项应急预案》。是中国石油天然气股份有限公司呼和浩特石化分公司应急工作的纲领性文件，强调了公司机关相关部门的应急职责；突出了公司所属各部门的应急主体责任；规定了公司应急组织和预案体系等内容，为各级组织开展应急工作提供了必要的工作指南。各部门及岗位负责人要认真组织学习和贯彻，确保各级应急工作能够得到有效落实。</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《中国石油天然气股份有限公司呼和浩特石化分公司放射源辐射专项应急预案》经公司应急预案领导小组审查通过，现予以颁布，自签署之日起生效。</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公司所属各部门、岗位负责人要做好预案的宣贯和培训工作，按照《辐射专项应急预案》要求做好突发事件的应对准备。</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4760" w:firstLineChars="17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批准人：</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 xml:space="preserve">                                      年    月   日</w:t>
      </w:r>
    </w:p>
    <w:p>
      <w:pPr>
        <w:pageBreakBefore w:val="0"/>
        <w:widowControl/>
        <w:kinsoku/>
        <w:wordWrap/>
        <w:overflowPunct/>
        <w:topLinePunct w:val="0"/>
        <w:autoSpaceDE w:val="0"/>
        <w:autoSpaceDN w:val="0"/>
        <w:bidi w:val="0"/>
        <w:adjustRightInd w:val="0"/>
        <w:snapToGrid w:val="0"/>
        <w:spacing w:line="360" w:lineRule="auto"/>
        <w:ind w:firstLine="803" w:firstLineChars="200"/>
        <w:jc w:val="both"/>
        <w:textAlignment w:val="baseline"/>
        <w:rPr>
          <w:rFonts w:hint="eastAsia" w:ascii="仿宋" w:hAnsi="仿宋" w:eastAsia="仿宋" w:cs="仿宋"/>
          <w:b/>
          <w:bCs/>
          <w:snapToGrid w:val="0"/>
          <w:color w:val="auto"/>
          <w:kern w:val="0"/>
          <w:sz w:val="40"/>
          <w:szCs w:val="40"/>
          <w:highlight w:val="none"/>
          <w:lang w:val="en-US" w:eastAsia="zh-CN"/>
        </w:rPr>
      </w:pPr>
    </w:p>
    <w:p>
      <w:pPr>
        <w:rPr>
          <w:rFonts w:hint="eastAsia" w:ascii="仿宋" w:hAnsi="仿宋" w:eastAsia="仿宋" w:cs="仿宋"/>
          <w:highlight w:val="none"/>
        </w:rPr>
      </w:pPr>
      <w:r>
        <w:rPr>
          <w:rFonts w:hint="eastAsia" w:ascii="仿宋" w:hAnsi="仿宋" w:eastAsia="仿宋" w:cs="仿宋"/>
          <w:highlight w:val="none"/>
        </w:rPr>
        <w:br w:type="page"/>
      </w:r>
    </w:p>
    <w:sdt>
      <w:sdtPr>
        <w:rPr>
          <w:rFonts w:hint="eastAsia" w:ascii="仿宋" w:hAnsi="仿宋" w:eastAsia="仿宋" w:cs="仿宋"/>
          <w:b/>
          <w:bCs/>
          <w:kern w:val="2"/>
          <w:sz w:val="48"/>
          <w:szCs w:val="48"/>
          <w:highlight w:val="none"/>
          <w:lang w:val="en-US" w:eastAsia="zh-CN" w:bidi="ar-SA"/>
        </w:rPr>
        <w:id w:val="147457936"/>
        <w15:color w:val="DBDBDB"/>
        <w:docPartObj>
          <w:docPartGallery w:val="Table of Contents"/>
          <w:docPartUnique/>
        </w:docPartObj>
      </w:sdtPr>
      <w:sdtEndPr>
        <w:rPr>
          <w:rFonts w:hint="eastAsia" w:ascii="仿宋" w:hAnsi="仿宋" w:eastAsia="仿宋" w:cs="仿宋"/>
          <w:b/>
          <w:bCs/>
          <w:kern w:val="2"/>
          <w:sz w:val="21"/>
          <w:szCs w:val="24"/>
          <w:highlight w:val="none"/>
          <w:lang w:val="en-US" w:eastAsia="zh-CN" w:bidi="ar-SA"/>
        </w:rPr>
      </w:sdtEndPr>
      <w:sdtContent>
        <w:p>
          <w:pPr>
            <w:keepNext w:val="0"/>
            <w:keepLines w:val="0"/>
            <w:pageBreakBefore w:val="0"/>
            <w:widowControl w:val="0"/>
            <w:kinsoku/>
            <w:wordWrap/>
            <w:overflowPunct/>
            <w:topLinePunct w:val="0"/>
            <w:autoSpaceDE/>
            <w:autoSpaceDN/>
            <w:bidi w:val="0"/>
            <w:adjustRightInd/>
            <w:snapToGrid/>
            <w:spacing w:before="0" w:beforeLines="0" w:after="0" w:afterLines="0" w:line="500" w:lineRule="exact"/>
            <w:ind w:left="0" w:leftChars="0" w:right="0" w:rightChars="0" w:firstLine="0" w:firstLineChars="0"/>
            <w:jc w:val="center"/>
            <w:textAlignment w:val="auto"/>
            <w:rPr>
              <w:rFonts w:hint="eastAsia" w:ascii="仿宋" w:hAnsi="仿宋" w:eastAsia="仿宋" w:cs="仿宋"/>
              <w:b/>
              <w:bCs/>
              <w:sz w:val="48"/>
              <w:szCs w:val="48"/>
              <w:highlight w:val="none"/>
            </w:rPr>
          </w:pPr>
          <w:bookmarkStart w:id="0" w:name="_Toc1138"/>
          <w:r>
            <w:rPr>
              <w:rFonts w:hint="eastAsia" w:ascii="仿宋" w:hAnsi="仿宋" w:eastAsia="仿宋" w:cs="仿宋"/>
              <w:b/>
              <w:bCs/>
              <w:sz w:val="48"/>
              <w:szCs w:val="48"/>
              <w:highlight w:val="none"/>
            </w:rPr>
            <w:t>目</w:t>
          </w:r>
          <w:r>
            <w:rPr>
              <w:rFonts w:hint="eastAsia" w:ascii="仿宋" w:hAnsi="仿宋" w:eastAsia="仿宋" w:cs="仿宋"/>
              <w:b/>
              <w:bCs/>
              <w:sz w:val="48"/>
              <w:szCs w:val="48"/>
              <w:highlight w:val="none"/>
              <w:lang w:val="en-US" w:eastAsia="zh-CN"/>
            </w:rPr>
            <w:t xml:space="preserve">   </w:t>
          </w:r>
          <w:r>
            <w:rPr>
              <w:rFonts w:hint="eastAsia" w:ascii="仿宋" w:hAnsi="仿宋" w:eastAsia="仿宋" w:cs="仿宋"/>
              <w:b/>
              <w:bCs/>
              <w:sz w:val="48"/>
              <w:szCs w:val="48"/>
              <w:highlight w:val="none"/>
            </w:rPr>
            <w:t>录</w:t>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8"/>
              <w:szCs w:val="28"/>
              <w:highlight w:val="none"/>
            </w:rPr>
            <w:fldChar w:fldCharType="begin"/>
          </w:r>
          <w:r>
            <w:rPr>
              <w:rFonts w:hint="eastAsia" w:ascii="仿宋" w:hAnsi="仿宋" w:eastAsia="仿宋" w:cs="仿宋"/>
              <w:sz w:val="28"/>
              <w:szCs w:val="28"/>
              <w:highlight w:val="none"/>
            </w:rPr>
            <w:instrText xml:space="preserve">TOC \o "1-2" \h \u </w:instrText>
          </w:r>
          <w:r>
            <w:rPr>
              <w:rFonts w:hint="eastAsia" w:ascii="仿宋" w:hAnsi="仿宋" w:eastAsia="仿宋" w:cs="仿宋"/>
              <w:sz w:val="28"/>
              <w:szCs w:val="28"/>
              <w:highlight w:val="none"/>
            </w:rPr>
            <w:fldChar w:fldCharType="separate"/>
          </w: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_Toc29531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一、</w:t>
          </w:r>
          <w:r>
            <w:rPr>
              <w:rFonts w:hint="eastAsia" w:ascii="仿宋" w:hAnsi="仿宋" w:eastAsia="仿宋" w:cs="仿宋"/>
              <w:sz w:val="24"/>
              <w:szCs w:val="32"/>
              <w:highlight w:val="none"/>
            </w:rPr>
            <w:t>前言</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_Toc29531 \h </w:instrText>
          </w:r>
          <w:r>
            <w:rPr>
              <w:rFonts w:hint="eastAsia" w:ascii="仿宋" w:hAnsi="仿宋" w:eastAsia="仿宋" w:cs="仿宋"/>
              <w:sz w:val="24"/>
              <w:szCs w:val="32"/>
            </w:rPr>
            <w:fldChar w:fldCharType="separate"/>
          </w:r>
          <w:r>
            <w:rPr>
              <w:rFonts w:hint="eastAsia" w:ascii="仿宋" w:hAnsi="仿宋" w:eastAsia="仿宋" w:cs="仿宋"/>
              <w:sz w:val="24"/>
              <w:szCs w:val="32"/>
            </w:rPr>
            <w:t>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_Toc5103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二、</w:t>
          </w:r>
          <w:r>
            <w:rPr>
              <w:rFonts w:hint="eastAsia" w:ascii="仿宋" w:hAnsi="仿宋" w:eastAsia="仿宋" w:cs="仿宋"/>
              <w:sz w:val="24"/>
              <w:szCs w:val="32"/>
              <w:highlight w:val="none"/>
            </w:rPr>
            <w:t>总则</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_Toc5103 \h </w:instrText>
          </w:r>
          <w:r>
            <w:rPr>
              <w:rFonts w:hint="eastAsia" w:ascii="仿宋" w:hAnsi="仿宋" w:eastAsia="仿宋" w:cs="仿宋"/>
              <w:sz w:val="24"/>
              <w:szCs w:val="32"/>
            </w:rPr>
            <w:fldChar w:fldCharType="separate"/>
          </w:r>
          <w:r>
            <w:rPr>
              <w:rFonts w:hint="eastAsia" w:ascii="仿宋" w:hAnsi="仿宋" w:eastAsia="仿宋" w:cs="仿宋"/>
              <w:sz w:val="24"/>
              <w:szCs w:val="32"/>
            </w:rPr>
            <w:t>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_Toc14380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rPr>
            <w:t>2.1编制目的</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_Toc14380 \h </w:instrText>
          </w:r>
          <w:r>
            <w:rPr>
              <w:rFonts w:hint="eastAsia" w:ascii="仿宋" w:hAnsi="仿宋" w:eastAsia="仿宋" w:cs="仿宋"/>
              <w:sz w:val="24"/>
              <w:szCs w:val="32"/>
            </w:rPr>
            <w:fldChar w:fldCharType="separate"/>
          </w:r>
          <w:r>
            <w:rPr>
              <w:rFonts w:hint="eastAsia" w:ascii="仿宋" w:hAnsi="仿宋" w:eastAsia="仿宋" w:cs="仿宋"/>
              <w:sz w:val="24"/>
              <w:szCs w:val="32"/>
            </w:rPr>
            <w:t>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_Toc26619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rPr>
            <w:t>2.</w:t>
          </w:r>
          <w:r>
            <w:rPr>
              <w:rFonts w:hint="eastAsia" w:ascii="仿宋" w:hAnsi="仿宋" w:eastAsia="仿宋" w:cs="仿宋"/>
              <w:sz w:val="24"/>
              <w:szCs w:val="36"/>
              <w:highlight w:val="none"/>
              <w:lang w:val="en-US" w:eastAsia="zh-CN"/>
            </w:rPr>
            <w:t>2</w:t>
          </w:r>
          <w:r>
            <w:rPr>
              <w:rFonts w:hint="eastAsia" w:ascii="仿宋" w:hAnsi="仿宋" w:eastAsia="仿宋" w:cs="仿宋"/>
              <w:sz w:val="24"/>
              <w:szCs w:val="36"/>
              <w:highlight w:val="none"/>
            </w:rPr>
            <w:t>适用范围</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_Toc26619 \h </w:instrText>
          </w:r>
          <w:r>
            <w:rPr>
              <w:rFonts w:hint="eastAsia" w:ascii="仿宋" w:hAnsi="仿宋" w:eastAsia="仿宋" w:cs="仿宋"/>
              <w:sz w:val="24"/>
              <w:szCs w:val="32"/>
            </w:rPr>
            <w:fldChar w:fldCharType="separate"/>
          </w:r>
          <w:r>
            <w:rPr>
              <w:rFonts w:hint="eastAsia" w:ascii="仿宋" w:hAnsi="仿宋" w:eastAsia="仿宋" w:cs="仿宋"/>
              <w:sz w:val="24"/>
              <w:szCs w:val="32"/>
            </w:rPr>
            <w:t>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_Toc14253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rPr>
            <w:t>2.</w:t>
          </w:r>
          <w:r>
            <w:rPr>
              <w:rFonts w:hint="eastAsia" w:ascii="仿宋" w:hAnsi="仿宋" w:eastAsia="仿宋" w:cs="仿宋"/>
              <w:sz w:val="24"/>
              <w:szCs w:val="36"/>
              <w:highlight w:val="none"/>
              <w:lang w:val="en-US" w:eastAsia="zh-CN"/>
            </w:rPr>
            <w:t>3</w:t>
          </w:r>
          <w:r>
            <w:rPr>
              <w:rFonts w:hint="eastAsia" w:ascii="仿宋" w:hAnsi="仿宋" w:eastAsia="仿宋" w:cs="仿宋"/>
              <w:sz w:val="24"/>
              <w:szCs w:val="36"/>
              <w:highlight w:val="none"/>
            </w:rPr>
            <w:t>编制依据</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_Toc14253 \h </w:instrText>
          </w:r>
          <w:r>
            <w:rPr>
              <w:rFonts w:hint="eastAsia" w:ascii="仿宋" w:hAnsi="仿宋" w:eastAsia="仿宋" w:cs="仿宋"/>
              <w:sz w:val="24"/>
              <w:szCs w:val="32"/>
            </w:rPr>
            <w:fldChar w:fldCharType="separate"/>
          </w:r>
          <w:r>
            <w:rPr>
              <w:rFonts w:hint="eastAsia" w:ascii="仿宋" w:hAnsi="仿宋" w:eastAsia="仿宋" w:cs="仿宋"/>
              <w:sz w:val="24"/>
              <w:szCs w:val="32"/>
            </w:rPr>
            <w:t>3</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_Toc19753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三、</w:t>
          </w:r>
          <w:r>
            <w:rPr>
              <w:rFonts w:hint="eastAsia" w:ascii="仿宋" w:hAnsi="仿宋" w:eastAsia="仿宋" w:cs="仿宋"/>
              <w:sz w:val="24"/>
              <w:szCs w:val="32"/>
              <w:highlight w:val="none"/>
            </w:rPr>
            <w:t>项目概况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_Toc19753 \h </w:instrText>
          </w:r>
          <w:r>
            <w:rPr>
              <w:rFonts w:hint="eastAsia" w:ascii="仿宋" w:hAnsi="仿宋" w:eastAsia="仿宋" w:cs="仿宋"/>
              <w:sz w:val="24"/>
              <w:szCs w:val="32"/>
            </w:rPr>
            <w:fldChar w:fldCharType="separate"/>
          </w:r>
          <w:r>
            <w:rPr>
              <w:rFonts w:hint="eastAsia" w:ascii="仿宋" w:hAnsi="仿宋" w:eastAsia="仿宋" w:cs="仿宋"/>
              <w:sz w:val="24"/>
              <w:szCs w:val="32"/>
            </w:rPr>
            <w:t>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_Toc22833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rPr>
            <w:t>3.1企业概况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_Toc22833 \h </w:instrText>
          </w:r>
          <w:r>
            <w:rPr>
              <w:rFonts w:hint="eastAsia" w:ascii="仿宋" w:hAnsi="仿宋" w:eastAsia="仿宋" w:cs="仿宋"/>
              <w:sz w:val="24"/>
              <w:szCs w:val="32"/>
            </w:rPr>
            <w:fldChar w:fldCharType="separate"/>
          </w:r>
          <w:r>
            <w:rPr>
              <w:rFonts w:hint="eastAsia" w:ascii="仿宋" w:hAnsi="仿宋" w:eastAsia="仿宋" w:cs="仿宋"/>
              <w:sz w:val="24"/>
              <w:szCs w:val="32"/>
            </w:rPr>
            <w:t>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_Toc271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rPr>
            <w:t>3.2放射源情况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_Toc271 \h </w:instrText>
          </w:r>
          <w:r>
            <w:rPr>
              <w:rFonts w:hint="eastAsia" w:ascii="仿宋" w:hAnsi="仿宋" w:eastAsia="仿宋" w:cs="仿宋"/>
              <w:sz w:val="24"/>
              <w:szCs w:val="32"/>
            </w:rPr>
            <w:fldChar w:fldCharType="separate"/>
          </w:r>
          <w:r>
            <w:rPr>
              <w:rFonts w:hint="eastAsia" w:ascii="仿宋" w:hAnsi="仿宋" w:eastAsia="仿宋" w:cs="仿宋"/>
              <w:sz w:val="24"/>
              <w:szCs w:val="32"/>
            </w:rPr>
            <w:t>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_Toc20800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四、</w:t>
          </w:r>
          <w:r>
            <w:rPr>
              <w:rFonts w:hint="eastAsia" w:ascii="仿宋" w:hAnsi="仿宋" w:eastAsia="仿宋" w:cs="仿宋"/>
              <w:sz w:val="24"/>
              <w:szCs w:val="32"/>
              <w:highlight w:val="none"/>
            </w:rPr>
            <w:t>环境管理实施情况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_Toc20800 \h </w:instrText>
          </w:r>
          <w:r>
            <w:rPr>
              <w:rFonts w:hint="eastAsia" w:ascii="仿宋" w:hAnsi="仿宋" w:eastAsia="仿宋" w:cs="仿宋"/>
              <w:sz w:val="24"/>
              <w:szCs w:val="32"/>
            </w:rPr>
            <w:fldChar w:fldCharType="separate"/>
          </w:r>
          <w:r>
            <w:rPr>
              <w:rFonts w:hint="eastAsia" w:ascii="仿宋" w:hAnsi="仿宋" w:eastAsia="仿宋" w:cs="仿宋"/>
              <w:sz w:val="24"/>
              <w:szCs w:val="32"/>
            </w:rPr>
            <w:t>15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_Toc17984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4.1</w:t>
          </w:r>
          <w:r>
            <w:rPr>
              <w:rFonts w:hint="eastAsia" w:ascii="仿宋" w:hAnsi="仿宋" w:eastAsia="仿宋" w:cs="仿宋"/>
              <w:sz w:val="24"/>
              <w:szCs w:val="36"/>
              <w:highlight w:val="none"/>
            </w:rPr>
            <w:t>放射源安全和防护设施的运行与维护情况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_Toc17984 \h </w:instrText>
          </w:r>
          <w:r>
            <w:rPr>
              <w:rFonts w:hint="eastAsia" w:ascii="仿宋" w:hAnsi="仿宋" w:eastAsia="仿宋" w:cs="仿宋"/>
              <w:sz w:val="24"/>
              <w:szCs w:val="32"/>
            </w:rPr>
            <w:fldChar w:fldCharType="separate"/>
          </w:r>
          <w:r>
            <w:rPr>
              <w:rFonts w:hint="eastAsia" w:ascii="仿宋" w:hAnsi="仿宋" w:eastAsia="仿宋" w:cs="仿宋"/>
              <w:sz w:val="24"/>
              <w:szCs w:val="32"/>
            </w:rPr>
            <w:t>15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_Toc16318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4.2</w:t>
          </w:r>
          <w:r>
            <w:rPr>
              <w:rFonts w:hint="eastAsia" w:ascii="仿宋" w:hAnsi="仿宋" w:eastAsia="仿宋" w:cs="仿宋"/>
              <w:sz w:val="24"/>
              <w:szCs w:val="36"/>
              <w:highlight w:val="none"/>
            </w:rPr>
            <w:t>放射源安全和防护制度及措施的制度与落实情况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_Toc16318 \h </w:instrText>
          </w:r>
          <w:r>
            <w:rPr>
              <w:rFonts w:hint="eastAsia" w:ascii="仿宋" w:hAnsi="仿宋" w:eastAsia="仿宋" w:cs="仿宋"/>
              <w:sz w:val="24"/>
              <w:szCs w:val="32"/>
            </w:rPr>
            <w:fldChar w:fldCharType="separate"/>
          </w:r>
          <w:r>
            <w:rPr>
              <w:rFonts w:hint="eastAsia" w:ascii="仿宋" w:hAnsi="仿宋" w:eastAsia="仿宋" w:cs="仿宋"/>
              <w:sz w:val="24"/>
              <w:szCs w:val="32"/>
            </w:rPr>
            <w:t>15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_Toc28215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4.3</w:t>
          </w:r>
          <w:r>
            <w:rPr>
              <w:rFonts w:hint="eastAsia" w:ascii="仿宋" w:hAnsi="仿宋" w:eastAsia="仿宋" w:cs="仿宋"/>
              <w:sz w:val="24"/>
              <w:szCs w:val="36"/>
              <w:highlight w:val="none"/>
            </w:rPr>
            <w:t>放射源进出口、转让或者送贮情况以及台账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_Toc28215 \h </w:instrText>
          </w:r>
          <w:r>
            <w:rPr>
              <w:rFonts w:hint="eastAsia" w:ascii="仿宋" w:hAnsi="仿宋" w:eastAsia="仿宋" w:cs="仿宋"/>
              <w:sz w:val="24"/>
              <w:szCs w:val="32"/>
            </w:rPr>
            <w:fldChar w:fldCharType="separate"/>
          </w:r>
          <w:r>
            <w:rPr>
              <w:rFonts w:hint="eastAsia" w:ascii="仿宋" w:hAnsi="仿宋" w:eastAsia="仿宋" w:cs="仿宋"/>
              <w:sz w:val="24"/>
              <w:szCs w:val="32"/>
            </w:rPr>
            <w:t>15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_Toc25756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4.4</w:t>
          </w:r>
          <w:r>
            <w:rPr>
              <w:rFonts w:hint="eastAsia" w:ascii="仿宋" w:hAnsi="仿宋" w:eastAsia="仿宋" w:cs="仿宋"/>
              <w:sz w:val="24"/>
              <w:szCs w:val="36"/>
              <w:highlight w:val="none"/>
            </w:rPr>
            <w:t>场所辐射环境监测和个人剂量监测情况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_Toc25756 \h </w:instrText>
          </w:r>
          <w:r>
            <w:rPr>
              <w:rFonts w:hint="eastAsia" w:ascii="仿宋" w:hAnsi="仿宋" w:eastAsia="仿宋" w:cs="仿宋"/>
              <w:sz w:val="24"/>
              <w:szCs w:val="32"/>
            </w:rPr>
            <w:fldChar w:fldCharType="separate"/>
          </w:r>
          <w:r>
            <w:rPr>
              <w:rFonts w:hint="eastAsia" w:ascii="仿宋" w:hAnsi="仿宋" w:eastAsia="仿宋" w:cs="仿宋"/>
              <w:sz w:val="24"/>
              <w:szCs w:val="32"/>
            </w:rPr>
            <w:t>16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_Toc17386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五、</w:t>
          </w:r>
          <w:r>
            <w:rPr>
              <w:rFonts w:hint="eastAsia" w:ascii="仿宋" w:hAnsi="仿宋" w:eastAsia="仿宋" w:cs="仿宋"/>
              <w:sz w:val="24"/>
              <w:szCs w:val="32"/>
              <w:highlight w:val="none"/>
            </w:rPr>
            <w:t>事故风险分析</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_Toc17386 \h </w:instrText>
          </w:r>
          <w:r>
            <w:rPr>
              <w:rFonts w:hint="eastAsia" w:ascii="仿宋" w:hAnsi="仿宋" w:eastAsia="仿宋" w:cs="仿宋"/>
              <w:sz w:val="24"/>
              <w:szCs w:val="32"/>
            </w:rPr>
            <w:fldChar w:fldCharType="separate"/>
          </w:r>
          <w:r>
            <w:rPr>
              <w:rFonts w:hint="eastAsia" w:ascii="仿宋" w:hAnsi="仿宋" w:eastAsia="仿宋" w:cs="仿宋"/>
              <w:sz w:val="24"/>
              <w:szCs w:val="32"/>
            </w:rPr>
            <w:t>19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_Toc18109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.1事故类型与危害分析</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_Toc18109 \h </w:instrText>
          </w:r>
          <w:r>
            <w:rPr>
              <w:rFonts w:hint="eastAsia" w:ascii="仿宋" w:hAnsi="仿宋" w:eastAsia="仿宋" w:cs="仿宋"/>
              <w:sz w:val="24"/>
              <w:szCs w:val="32"/>
            </w:rPr>
            <w:fldChar w:fldCharType="separate"/>
          </w:r>
          <w:r>
            <w:rPr>
              <w:rFonts w:hint="eastAsia" w:ascii="仿宋" w:hAnsi="仿宋" w:eastAsia="仿宋" w:cs="仿宋"/>
              <w:sz w:val="24"/>
              <w:szCs w:val="32"/>
            </w:rPr>
            <w:t>19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_Toc25474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3</w:t>
          </w:r>
          <w:r>
            <w:rPr>
              <w:rFonts w:hint="eastAsia" w:ascii="仿宋" w:hAnsi="仿宋" w:eastAsia="仿宋" w:cs="仿宋"/>
              <w:sz w:val="24"/>
              <w:szCs w:val="36"/>
              <w:highlight w:val="none"/>
            </w:rPr>
            <w:t>应急指挥机构及职责</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_Toc25474 \h </w:instrText>
          </w:r>
          <w:r>
            <w:rPr>
              <w:rFonts w:hint="eastAsia" w:ascii="仿宋" w:hAnsi="仿宋" w:eastAsia="仿宋" w:cs="仿宋"/>
              <w:sz w:val="24"/>
              <w:szCs w:val="32"/>
            </w:rPr>
            <w:fldChar w:fldCharType="separate"/>
          </w:r>
          <w:r>
            <w:rPr>
              <w:rFonts w:hint="eastAsia" w:ascii="仿宋" w:hAnsi="仿宋" w:eastAsia="仿宋" w:cs="仿宋"/>
              <w:sz w:val="24"/>
              <w:szCs w:val="32"/>
            </w:rPr>
            <w:t>20</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_Toc18214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4</w:t>
          </w:r>
          <w:r>
            <w:rPr>
              <w:rFonts w:hint="eastAsia" w:ascii="仿宋" w:hAnsi="仿宋" w:eastAsia="仿宋" w:cs="仿宋"/>
              <w:sz w:val="24"/>
              <w:szCs w:val="36"/>
              <w:highlight w:val="none"/>
            </w:rPr>
            <w:t>应急处置程序</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_Toc18214 \h </w:instrText>
          </w:r>
          <w:r>
            <w:rPr>
              <w:rFonts w:hint="eastAsia" w:ascii="仿宋" w:hAnsi="仿宋" w:eastAsia="仿宋" w:cs="仿宋"/>
              <w:sz w:val="24"/>
              <w:szCs w:val="32"/>
            </w:rPr>
            <w:fldChar w:fldCharType="separate"/>
          </w:r>
          <w:r>
            <w:rPr>
              <w:rFonts w:hint="eastAsia" w:ascii="仿宋" w:hAnsi="仿宋" w:eastAsia="仿宋" w:cs="仿宋"/>
              <w:sz w:val="24"/>
              <w:szCs w:val="32"/>
            </w:rPr>
            <w:t>25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_Toc12624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处置措施</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_Toc12624 \h </w:instrText>
          </w:r>
          <w:r>
            <w:rPr>
              <w:rFonts w:hint="eastAsia" w:ascii="仿宋" w:hAnsi="仿宋" w:eastAsia="仿宋" w:cs="仿宋"/>
              <w:sz w:val="24"/>
              <w:szCs w:val="32"/>
            </w:rPr>
            <w:fldChar w:fldCharType="separate"/>
          </w:r>
          <w:r>
            <w:rPr>
              <w:rFonts w:hint="eastAsia" w:ascii="仿宋" w:hAnsi="仿宋" w:eastAsia="仿宋" w:cs="仿宋"/>
              <w:sz w:val="24"/>
              <w:szCs w:val="32"/>
            </w:rPr>
            <w:t>29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_Toc10949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6</w:t>
          </w:r>
          <w:r>
            <w:rPr>
              <w:rFonts w:hint="eastAsia" w:ascii="仿宋" w:hAnsi="仿宋" w:eastAsia="仿宋" w:cs="仿宋"/>
              <w:sz w:val="24"/>
              <w:szCs w:val="36"/>
              <w:highlight w:val="none"/>
            </w:rPr>
            <w:t>应急</w:t>
          </w:r>
          <w:r>
            <w:rPr>
              <w:rFonts w:hint="eastAsia" w:ascii="仿宋" w:hAnsi="仿宋" w:eastAsia="仿宋" w:cs="仿宋"/>
              <w:sz w:val="24"/>
              <w:szCs w:val="36"/>
              <w:highlight w:val="none"/>
              <w:lang w:eastAsia="zh-CN"/>
            </w:rPr>
            <w:t>终止</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_Toc10949 \h </w:instrText>
          </w:r>
          <w:r>
            <w:rPr>
              <w:rFonts w:hint="eastAsia" w:ascii="仿宋" w:hAnsi="仿宋" w:eastAsia="仿宋" w:cs="仿宋"/>
              <w:sz w:val="24"/>
              <w:szCs w:val="32"/>
            </w:rPr>
            <w:fldChar w:fldCharType="separate"/>
          </w:r>
          <w:r>
            <w:rPr>
              <w:rFonts w:hint="eastAsia" w:ascii="仿宋" w:hAnsi="仿宋" w:eastAsia="仿宋" w:cs="仿宋"/>
              <w:sz w:val="24"/>
              <w:szCs w:val="32"/>
            </w:rPr>
            <w:t>34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_Toc28923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7</w:t>
          </w:r>
          <w:r>
            <w:rPr>
              <w:rFonts w:hint="eastAsia" w:ascii="仿宋" w:hAnsi="仿宋" w:eastAsia="仿宋" w:cs="仿宋"/>
              <w:sz w:val="24"/>
              <w:szCs w:val="36"/>
              <w:highlight w:val="none"/>
            </w:rPr>
            <w:t>应急资源情况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_Toc28923 \h </w:instrText>
          </w:r>
          <w:r>
            <w:rPr>
              <w:rFonts w:hint="eastAsia" w:ascii="仿宋" w:hAnsi="仿宋" w:eastAsia="仿宋" w:cs="仿宋"/>
              <w:sz w:val="24"/>
              <w:szCs w:val="32"/>
            </w:rPr>
            <w:fldChar w:fldCharType="separate"/>
          </w:r>
          <w:r>
            <w:rPr>
              <w:rFonts w:hint="eastAsia" w:ascii="仿宋" w:hAnsi="仿宋" w:eastAsia="仿宋" w:cs="仿宋"/>
              <w:sz w:val="24"/>
              <w:szCs w:val="32"/>
            </w:rPr>
            <w:t>35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_Toc14156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六、</w:t>
          </w:r>
          <w:r>
            <w:rPr>
              <w:rFonts w:hint="eastAsia" w:ascii="仿宋" w:hAnsi="仿宋" w:eastAsia="仿宋" w:cs="仿宋"/>
              <w:sz w:val="24"/>
              <w:szCs w:val="32"/>
              <w:highlight w:val="none"/>
            </w:rPr>
            <w:t>后期处置</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_Toc14156 \h </w:instrText>
          </w:r>
          <w:r>
            <w:rPr>
              <w:rFonts w:hint="eastAsia" w:ascii="仿宋" w:hAnsi="仿宋" w:eastAsia="仿宋" w:cs="仿宋"/>
              <w:sz w:val="24"/>
              <w:szCs w:val="32"/>
            </w:rPr>
            <w:fldChar w:fldCharType="separate"/>
          </w:r>
          <w:r>
            <w:rPr>
              <w:rFonts w:hint="eastAsia" w:ascii="仿宋" w:hAnsi="仿宋" w:eastAsia="仿宋" w:cs="仿宋"/>
              <w:sz w:val="24"/>
              <w:szCs w:val="32"/>
            </w:rPr>
            <w:t>37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_Toc18288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6</w:t>
          </w:r>
          <w:r>
            <w:rPr>
              <w:rFonts w:hint="eastAsia" w:ascii="仿宋" w:hAnsi="仿宋" w:eastAsia="仿宋" w:cs="仿宋"/>
              <w:sz w:val="24"/>
              <w:szCs w:val="36"/>
              <w:highlight w:val="none"/>
            </w:rPr>
            <w:t>.1善后处置</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_Toc18288 \h </w:instrText>
          </w:r>
          <w:r>
            <w:rPr>
              <w:rFonts w:hint="eastAsia" w:ascii="仿宋" w:hAnsi="仿宋" w:eastAsia="仿宋" w:cs="仿宋"/>
              <w:sz w:val="24"/>
              <w:szCs w:val="32"/>
            </w:rPr>
            <w:fldChar w:fldCharType="separate"/>
          </w:r>
          <w:r>
            <w:rPr>
              <w:rFonts w:hint="eastAsia" w:ascii="仿宋" w:hAnsi="仿宋" w:eastAsia="仿宋" w:cs="仿宋"/>
              <w:sz w:val="24"/>
              <w:szCs w:val="32"/>
            </w:rPr>
            <w:t>37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_Toc9198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6</w:t>
          </w:r>
          <w:r>
            <w:rPr>
              <w:rFonts w:hint="eastAsia" w:ascii="仿宋" w:hAnsi="仿宋" w:eastAsia="仿宋" w:cs="仿宋"/>
              <w:sz w:val="24"/>
              <w:szCs w:val="36"/>
              <w:highlight w:val="none"/>
            </w:rPr>
            <w:t>.2保险</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_Toc9198 \h </w:instrText>
          </w:r>
          <w:r>
            <w:rPr>
              <w:rFonts w:hint="eastAsia" w:ascii="仿宋" w:hAnsi="仿宋" w:eastAsia="仿宋" w:cs="仿宋"/>
              <w:sz w:val="24"/>
              <w:szCs w:val="32"/>
            </w:rPr>
            <w:fldChar w:fldCharType="separate"/>
          </w:r>
          <w:r>
            <w:rPr>
              <w:rFonts w:hint="eastAsia" w:ascii="仿宋" w:hAnsi="仿宋" w:eastAsia="仿宋" w:cs="仿宋"/>
              <w:sz w:val="24"/>
              <w:szCs w:val="32"/>
            </w:rPr>
            <w:t>37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_Toc1322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6</w:t>
          </w:r>
          <w:r>
            <w:rPr>
              <w:rFonts w:hint="eastAsia" w:ascii="仿宋" w:hAnsi="仿宋" w:eastAsia="仿宋" w:cs="仿宋"/>
              <w:sz w:val="24"/>
              <w:szCs w:val="36"/>
              <w:highlight w:val="none"/>
            </w:rPr>
            <w:t>.3调查与评估</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_Toc1322 \h </w:instrText>
          </w:r>
          <w:r>
            <w:rPr>
              <w:rFonts w:hint="eastAsia" w:ascii="仿宋" w:hAnsi="仿宋" w:eastAsia="仿宋" w:cs="仿宋"/>
              <w:sz w:val="24"/>
              <w:szCs w:val="32"/>
            </w:rPr>
            <w:fldChar w:fldCharType="separate"/>
          </w:r>
          <w:r>
            <w:rPr>
              <w:rFonts w:hint="eastAsia" w:ascii="仿宋" w:hAnsi="仿宋" w:eastAsia="仿宋" w:cs="仿宋"/>
              <w:sz w:val="24"/>
              <w:szCs w:val="32"/>
            </w:rPr>
            <w:t>37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_Toc25859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七、</w:t>
          </w:r>
          <w:r>
            <w:rPr>
              <w:rFonts w:hint="eastAsia" w:ascii="仿宋" w:hAnsi="仿宋" w:eastAsia="仿宋" w:cs="仿宋"/>
              <w:sz w:val="24"/>
              <w:szCs w:val="32"/>
              <w:highlight w:val="none"/>
            </w:rPr>
            <w:t>应急培训和演练</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_Toc25859 \h </w:instrText>
          </w:r>
          <w:r>
            <w:rPr>
              <w:rFonts w:hint="eastAsia" w:ascii="仿宋" w:hAnsi="仿宋" w:eastAsia="仿宋" w:cs="仿宋"/>
              <w:sz w:val="24"/>
              <w:szCs w:val="32"/>
            </w:rPr>
            <w:fldChar w:fldCharType="separate"/>
          </w:r>
          <w:r>
            <w:rPr>
              <w:rFonts w:hint="eastAsia" w:ascii="仿宋" w:hAnsi="仿宋" w:eastAsia="仿宋" w:cs="仿宋"/>
              <w:sz w:val="24"/>
              <w:szCs w:val="32"/>
            </w:rPr>
            <w:t>39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_Toc17343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7</w:t>
          </w:r>
          <w:r>
            <w:rPr>
              <w:rFonts w:hint="eastAsia" w:ascii="仿宋" w:hAnsi="仿宋" w:eastAsia="仿宋" w:cs="仿宋"/>
              <w:sz w:val="24"/>
              <w:szCs w:val="36"/>
              <w:highlight w:val="none"/>
            </w:rPr>
            <w:t>.1培训</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_Toc17343 \h </w:instrText>
          </w:r>
          <w:r>
            <w:rPr>
              <w:rFonts w:hint="eastAsia" w:ascii="仿宋" w:hAnsi="仿宋" w:eastAsia="仿宋" w:cs="仿宋"/>
              <w:sz w:val="24"/>
              <w:szCs w:val="32"/>
            </w:rPr>
            <w:fldChar w:fldCharType="separate"/>
          </w:r>
          <w:r>
            <w:rPr>
              <w:rFonts w:hint="eastAsia" w:ascii="仿宋" w:hAnsi="仿宋" w:eastAsia="仿宋" w:cs="仿宋"/>
              <w:sz w:val="24"/>
              <w:szCs w:val="32"/>
            </w:rPr>
            <w:t>39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_Toc20963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7</w:t>
          </w:r>
          <w:r>
            <w:rPr>
              <w:rFonts w:hint="eastAsia" w:ascii="仿宋" w:hAnsi="仿宋" w:eastAsia="仿宋" w:cs="仿宋"/>
              <w:sz w:val="24"/>
              <w:szCs w:val="36"/>
              <w:highlight w:val="none"/>
            </w:rPr>
            <w:t>.2演练</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_Toc20963 \h </w:instrText>
          </w:r>
          <w:r>
            <w:rPr>
              <w:rFonts w:hint="eastAsia" w:ascii="仿宋" w:hAnsi="仿宋" w:eastAsia="仿宋" w:cs="仿宋"/>
              <w:sz w:val="24"/>
              <w:szCs w:val="32"/>
            </w:rPr>
            <w:fldChar w:fldCharType="separate"/>
          </w:r>
          <w:r>
            <w:rPr>
              <w:rFonts w:hint="eastAsia" w:ascii="仿宋" w:hAnsi="仿宋" w:eastAsia="仿宋" w:cs="仿宋"/>
              <w:sz w:val="24"/>
              <w:szCs w:val="32"/>
            </w:rPr>
            <w:t>41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_Toc30941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八、</w:t>
          </w:r>
          <w:r>
            <w:rPr>
              <w:rFonts w:hint="eastAsia" w:ascii="仿宋" w:hAnsi="仿宋" w:eastAsia="仿宋" w:cs="仿宋"/>
              <w:sz w:val="24"/>
              <w:szCs w:val="32"/>
              <w:highlight w:val="none"/>
            </w:rPr>
            <w:t>奖惩</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_Toc30941 \h </w:instrText>
          </w:r>
          <w:r>
            <w:rPr>
              <w:rFonts w:hint="eastAsia" w:ascii="仿宋" w:hAnsi="仿宋" w:eastAsia="仿宋" w:cs="仿宋"/>
              <w:sz w:val="24"/>
              <w:szCs w:val="32"/>
            </w:rPr>
            <w:fldChar w:fldCharType="separate"/>
          </w:r>
          <w:r>
            <w:rPr>
              <w:rFonts w:hint="eastAsia" w:ascii="仿宋" w:hAnsi="仿宋" w:eastAsia="仿宋" w:cs="仿宋"/>
              <w:sz w:val="24"/>
              <w:szCs w:val="32"/>
            </w:rPr>
            <w:t>44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_Toc24179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8</w:t>
          </w:r>
          <w:r>
            <w:rPr>
              <w:rFonts w:hint="eastAsia" w:ascii="仿宋" w:hAnsi="仿宋" w:eastAsia="仿宋" w:cs="仿宋"/>
              <w:sz w:val="24"/>
              <w:szCs w:val="36"/>
              <w:highlight w:val="none"/>
            </w:rPr>
            <w:t>.1奖励</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_Toc24179 \h </w:instrText>
          </w:r>
          <w:r>
            <w:rPr>
              <w:rFonts w:hint="eastAsia" w:ascii="仿宋" w:hAnsi="仿宋" w:eastAsia="仿宋" w:cs="仿宋"/>
              <w:sz w:val="24"/>
              <w:szCs w:val="32"/>
            </w:rPr>
            <w:fldChar w:fldCharType="separate"/>
          </w:r>
          <w:r>
            <w:rPr>
              <w:rFonts w:hint="eastAsia" w:ascii="仿宋" w:hAnsi="仿宋" w:eastAsia="仿宋" w:cs="仿宋"/>
              <w:sz w:val="24"/>
              <w:szCs w:val="32"/>
            </w:rPr>
            <w:t>44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_Toc29203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8</w:t>
          </w:r>
          <w:r>
            <w:rPr>
              <w:rFonts w:hint="eastAsia" w:ascii="仿宋" w:hAnsi="仿宋" w:eastAsia="仿宋" w:cs="仿宋"/>
              <w:sz w:val="24"/>
              <w:szCs w:val="36"/>
              <w:highlight w:val="none"/>
            </w:rPr>
            <w:t>.2处罚</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_Toc29203 \h </w:instrText>
          </w:r>
          <w:r>
            <w:rPr>
              <w:rFonts w:hint="eastAsia" w:ascii="仿宋" w:hAnsi="仿宋" w:eastAsia="仿宋" w:cs="仿宋"/>
              <w:sz w:val="24"/>
              <w:szCs w:val="32"/>
            </w:rPr>
            <w:fldChar w:fldCharType="separate"/>
          </w:r>
          <w:r>
            <w:rPr>
              <w:rFonts w:hint="eastAsia" w:ascii="仿宋" w:hAnsi="仿宋" w:eastAsia="仿宋" w:cs="仿宋"/>
              <w:sz w:val="24"/>
              <w:szCs w:val="32"/>
            </w:rPr>
            <w:t>44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_Toc11832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九、</w:t>
          </w:r>
          <w:r>
            <w:rPr>
              <w:rFonts w:hint="eastAsia" w:ascii="仿宋" w:hAnsi="仿宋" w:eastAsia="仿宋" w:cs="仿宋"/>
              <w:sz w:val="24"/>
              <w:szCs w:val="32"/>
              <w:highlight w:val="none"/>
            </w:rPr>
            <w:t>保障措施</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_Toc11832 \h </w:instrText>
          </w:r>
          <w:r>
            <w:rPr>
              <w:rFonts w:hint="eastAsia" w:ascii="仿宋" w:hAnsi="仿宋" w:eastAsia="仿宋" w:cs="仿宋"/>
              <w:sz w:val="24"/>
              <w:szCs w:val="32"/>
            </w:rPr>
            <w:fldChar w:fldCharType="separate"/>
          </w:r>
          <w:r>
            <w:rPr>
              <w:rFonts w:hint="eastAsia" w:ascii="仿宋" w:hAnsi="仿宋" w:eastAsia="仿宋" w:cs="仿宋"/>
              <w:sz w:val="24"/>
              <w:szCs w:val="32"/>
            </w:rPr>
            <w:t>46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_Toc2088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.1经费及其他保障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_Toc2088 \h </w:instrText>
          </w:r>
          <w:r>
            <w:rPr>
              <w:rFonts w:hint="eastAsia" w:ascii="仿宋" w:hAnsi="仿宋" w:eastAsia="仿宋" w:cs="仿宋"/>
              <w:sz w:val="24"/>
              <w:szCs w:val="32"/>
            </w:rPr>
            <w:fldChar w:fldCharType="separate"/>
          </w:r>
          <w:r>
            <w:rPr>
              <w:rFonts w:hint="eastAsia" w:ascii="仿宋" w:hAnsi="仿宋" w:eastAsia="仿宋" w:cs="仿宋"/>
              <w:sz w:val="24"/>
              <w:szCs w:val="32"/>
            </w:rPr>
            <w:t>46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_Toc13552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.2应急物资装备保障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_Toc13552 \h </w:instrText>
          </w:r>
          <w:r>
            <w:rPr>
              <w:rFonts w:hint="eastAsia" w:ascii="仿宋" w:hAnsi="仿宋" w:eastAsia="仿宋" w:cs="仿宋"/>
              <w:sz w:val="24"/>
              <w:szCs w:val="32"/>
            </w:rPr>
            <w:fldChar w:fldCharType="separate"/>
          </w:r>
          <w:r>
            <w:rPr>
              <w:rFonts w:hint="eastAsia" w:ascii="仿宋" w:hAnsi="仿宋" w:eastAsia="仿宋" w:cs="仿宋"/>
              <w:sz w:val="24"/>
              <w:szCs w:val="32"/>
            </w:rPr>
            <w:t>46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_Toc3521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.3应急队伍保障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_Toc3521 \h </w:instrText>
          </w:r>
          <w:r>
            <w:rPr>
              <w:rFonts w:hint="eastAsia" w:ascii="仿宋" w:hAnsi="仿宋" w:eastAsia="仿宋" w:cs="仿宋"/>
              <w:sz w:val="24"/>
              <w:szCs w:val="32"/>
            </w:rPr>
            <w:fldChar w:fldCharType="separate"/>
          </w:r>
          <w:r>
            <w:rPr>
              <w:rFonts w:hint="eastAsia" w:ascii="仿宋" w:hAnsi="仿宋" w:eastAsia="仿宋" w:cs="仿宋"/>
              <w:sz w:val="24"/>
              <w:szCs w:val="32"/>
            </w:rPr>
            <w:t>46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_Toc30974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.4通信和信息保障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_Toc30974 \h </w:instrText>
          </w:r>
          <w:r>
            <w:rPr>
              <w:rFonts w:hint="eastAsia" w:ascii="仿宋" w:hAnsi="仿宋" w:eastAsia="仿宋" w:cs="仿宋"/>
              <w:sz w:val="24"/>
              <w:szCs w:val="32"/>
            </w:rPr>
            <w:fldChar w:fldCharType="separate"/>
          </w:r>
          <w:r>
            <w:rPr>
              <w:rFonts w:hint="eastAsia" w:ascii="仿宋" w:hAnsi="仿宋" w:eastAsia="仿宋" w:cs="仿宋"/>
              <w:sz w:val="24"/>
              <w:szCs w:val="32"/>
            </w:rPr>
            <w:t>47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_Toc23722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.5医疗急救保障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_Toc23722 \h </w:instrText>
          </w:r>
          <w:r>
            <w:rPr>
              <w:rFonts w:hint="eastAsia" w:ascii="仿宋" w:hAnsi="仿宋" w:eastAsia="仿宋" w:cs="仿宋"/>
              <w:sz w:val="24"/>
              <w:szCs w:val="32"/>
            </w:rPr>
            <w:fldChar w:fldCharType="separate"/>
          </w:r>
          <w:r>
            <w:rPr>
              <w:rFonts w:hint="eastAsia" w:ascii="仿宋" w:hAnsi="仿宋" w:eastAsia="仿宋" w:cs="仿宋"/>
              <w:sz w:val="24"/>
              <w:szCs w:val="32"/>
            </w:rPr>
            <w:t>47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_Toc28205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.6其他保障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_Toc28205 \h </w:instrText>
          </w:r>
          <w:r>
            <w:rPr>
              <w:rFonts w:hint="eastAsia" w:ascii="仿宋" w:hAnsi="仿宋" w:eastAsia="仿宋" w:cs="仿宋"/>
              <w:sz w:val="24"/>
              <w:szCs w:val="32"/>
            </w:rPr>
            <w:fldChar w:fldCharType="separate"/>
          </w:r>
          <w:r>
            <w:rPr>
              <w:rFonts w:hint="eastAsia" w:ascii="仿宋" w:hAnsi="仿宋" w:eastAsia="仿宋" w:cs="仿宋"/>
              <w:sz w:val="24"/>
              <w:szCs w:val="32"/>
            </w:rPr>
            <w:t>47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_Toc15874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十、应急</w:t>
          </w:r>
          <w:r>
            <w:rPr>
              <w:rFonts w:hint="eastAsia" w:ascii="仿宋" w:hAnsi="仿宋" w:eastAsia="仿宋" w:cs="仿宋"/>
              <w:sz w:val="24"/>
              <w:szCs w:val="32"/>
              <w:highlight w:val="none"/>
            </w:rPr>
            <w:t>预案的发布和更新</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_Toc15874 \h </w:instrText>
          </w:r>
          <w:r>
            <w:rPr>
              <w:rFonts w:hint="eastAsia" w:ascii="仿宋" w:hAnsi="仿宋" w:eastAsia="仿宋" w:cs="仿宋"/>
              <w:sz w:val="24"/>
              <w:szCs w:val="32"/>
            </w:rPr>
            <w:fldChar w:fldCharType="separate"/>
          </w:r>
          <w:r>
            <w:rPr>
              <w:rFonts w:hint="eastAsia" w:ascii="仿宋" w:hAnsi="仿宋" w:eastAsia="仿宋" w:cs="仿宋"/>
              <w:sz w:val="24"/>
              <w:szCs w:val="32"/>
            </w:rPr>
            <w:t>48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_Toc21397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rPr>
            <w:t>1</w:t>
          </w:r>
          <w:r>
            <w:rPr>
              <w:rFonts w:hint="eastAsia" w:ascii="仿宋" w:hAnsi="仿宋" w:eastAsia="仿宋" w:cs="仿宋"/>
              <w:sz w:val="24"/>
              <w:szCs w:val="32"/>
              <w:highlight w:val="none"/>
              <w:lang w:val="en-US" w:eastAsia="zh-CN"/>
            </w:rPr>
            <w:t>0</w:t>
          </w:r>
          <w:r>
            <w:rPr>
              <w:rFonts w:hint="eastAsia" w:ascii="仿宋" w:hAnsi="仿宋" w:eastAsia="仿宋" w:cs="仿宋"/>
              <w:sz w:val="24"/>
              <w:szCs w:val="32"/>
              <w:highlight w:val="none"/>
            </w:rPr>
            <w:t>.</w:t>
          </w:r>
          <w:r>
            <w:rPr>
              <w:rFonts w:hint="eastAsia" w:ascii="仿宋" w:hAnsi="仿宋" w:eastAsia="仿宋" w:cs="仿宋"/>
              <w:sz w:val="24"/>
              <w:szCs w:val="32"/>
              <w:highlight w:val="none"/>
              <w:lang w:val="en-US" w:eastAsia="zh-CN"/>
            </w:rPr>
            <w:t>1</w:t>
          </w:r>
          <w:r>
            <w:rPr>
              <w:rFonts w:hint="eastAsia" w:ascii="仿宋" w:hAnsi="仿宋" w:eastAsia="仿宋" w:cs="仿宋"/>
              <w:sz w:val="24"/>
              <w:szCs w:val="32"/>
              <w:highlight w:val="none"/>
            </w:rPr>
            <w:t>发布的时间、抄送的部门</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_Toc21397 \h </w:instrText>
          </w:r>
          <w:r>
            <w:rPr>
              <w:rFonts w:hint="eastAsia" w:ascii="仿宋" w:hAnsi="仿宋" w:eastAsia="仿宋" w:cs="仿宋"/>
              <w:sz w:val="24"/>
              <w:szCs w:val="32"/>
            </w:rPr>
            <w:fldChar w:fldCharType="separate"/>
          </w:r>
          <w:r>
            <w:rPr>
              <w:rFonts w:hint="eastAsia" w:ascii="仿宋" w:hAnsi="仿宋" w:eastAsia="仿宋" w:cs="仿宋"/>
              <w:sz w:val="24"/>
              <w:szCs w:val="32"/>
            </w:rPr>
            <w:t>48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_Toc3346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rPr>
            <w:t>1</w:t>
          </w:r>
          <w:r>
            <w:rPr>
              <w:rFonts w:hint="eastAsia" w:ascii="仿宋" w:hAnsi="仿宋" w:eastAsia="仿宋" w:cs="仿宋"/>
              <w:sz w:val="24"/>
              <w:szCs w:val="32"/>
              <w:highlight w:val="none"/>
              <w:lang w:val="en-US" w:eastAsia="zh-CN"/>
            </w:rPr>
            <w:t>0</w:t>
          </w:r>
          <w:r>
            <w:rPr>
              <w:rFonts w:hint="eastAsia" w:ascii="仿宋" w:hAnsi="仿宋" w:eastAsia="仿宋" w:cs="仿宋"/>
              <w:sz w:val="24"/>
              <w:szCs w:val="32"/>
              <w:highlight w:val="none"/>
            </w:rPr>
            <w:t>.</w:t>
          </w:r>
          <w:r>
            <w:rPr>
              <w:rFonts w:hint="eastAsia" w:ascii="仿宋" w:hAnsi="仿宋" w:eastAsia="仿宋" w:cs="仿宋"/>
              <w:sz w:val="24"/>
              <w:szCs w:val="32"/>
              <w:highlight w:val="none"/>
              <w:lang w:val="en-US" w:eastAsia="zh-CN"/>
            </w:rPr>
            <w:t>2应急预案更新修订</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_Toc3346 \h </w:instrText>
          </w:r>
          <w:r>
            <w:rPr>
              <w:rFonts w:hint="eastAsia" w:ascii="仿宋" w:hAnsi="仿宋" w:eastAsia="仿宋" w:cs="仿宋"/>
              <w:sz w:val="24"/>
              <w:szCs w:val="32"/>
            </w:rPr>
            <w:fldChar w:fldCharType="separate"/>
          </w:r>
          <w:r>
            <w:rPr>
              <w:rFonts w:hint="eastAsia" w:ascii="仿宋" w:hAnsi="仿宋" w:eastAsia="仿宋" w:cs="仿宋"/>
              <w:sz w:val="24"/>
              <w:szCs w:val="32"/>
            </w:rPr>
            <w:t>48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_Toc5548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附件1 辐射安全许可证</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_Toc5548 \h </w:instrText>
          </w:r>
          <w:r>
            <w:rPr>
              <w:rFonts w:hint="eastAsia" w:ascii="仿宋" w:hAnsi="仿宋" w:eastAsia="仿宋" w:cs="仿宋"/>
              <w:sz w:val="24"/>
              <w:szCs w:val="32"/>
            </w:rPr>
            <w:fldChar w:fldCharType="separate"/>
          </w:r>
          <w:r>
            <w:rPr>
              <w:rFonts w:hint="eastAsia" w:ascii="仿宋" w:hAnsi="仿宋" w:eastAsia="仿宋" w:cs="仿宋"/>
              <w:sz w:val="24"/>
              <w:szCs w:val="32"/>
            </w:rPr>
            <w:t>49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_Toc12700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附件2 放射源进口审批表</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_Toc12700 \h </w:instrText>
          </w:r>
          <w:r>
            <w:rPr>
              <w:rFonts w:hint="eastAsia" w:ascii="仿宋" w:hAnsi="仿宋" w:eastAsia="仿宋" w:cs="仿宋"/>
              <w:sz w:val="24"/>
              <w:szCs w:val="32"/>
            </w:rPr>
            <w:fldChar w:fldCharType="separate"/>
          </w:r>
          <w:r>
            <w:rPr>
              <w:rFonts w:hint="eastAsia" w:ascii="仿宋" w:hAnsi="仿宋" w:eastAsia="仿宋" w:cs="仿宋"/>
              <w:sz w:val="24"/>
              <w:szCs w:val="32"/>
            </w:rPr>
            <w:t>57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_Toc32194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附件3 放射源仪表台账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_Toc32194 \h </w:instrText>
          </w:r>
          <w:r>
            <w:rPr>
              <w:rFonts w:hint="eastAsia" w:ascii="仿宋" w:hAnsi="仿宋" w:eastAsia="仿宋" w:cs="仿宋"/>
              <w:sz w:val="24"/>
              <w:szCs w:val="32"/>
            </w:rPr>
            <w:fldChar w:fldCharType="separate"/>
          </w:r>
          <w:r>
            <w:rPr>
              <w:rFonts w:hint="eastAsia" w:ascii="仿宋" w:hAnsi="仿宋" w:eastAsia="仿宋" w:cs="仿宋"/>
              <w:sz w:val="24"/>
              <w:szCs w:val="32"/>
            </w:rPr>
            <w:t>59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_Toc13794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附件4 应急通讯录</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_Toc13794 \h </w:instrText>
          </w:r>
          <w:r>
            <w:rPr>
              <w:rFonts w:hint="eastAsia" w:ascii="仿宋" w:hAnsi="仿宋" w:eastAsia="仿宋" w:cs="仿宋"/>
              <w:sz w:val="24"/>
              <w:szCs w:val="32"/>
            </w:rPr>
            <w:fldChar w:fldCharType="separate"/>
          </w:r>
          <w:r>
            <w:rPr>
              <w:rFonts w:hint="eastAsia" w:ascii="仿宋" w:hAnsi="仿宋" w:eastAsia="仿宋" w:cs="仿宋"/>
              <w:sz w:val="24"/>
              <w:szCs w:val="32"/>
            </w:rPr>
            <w:t>60</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_Toc633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附件5 突发环境事件信息快报表</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_Toc633 \h </w:instrText>
          </w:r>
          <w:r>
            <w:rPr>
              <w:rFonts w:hint="eastAsia" w:ascii="仿宋" w:hAnsi="仿宋" w:eastAsia="仿宋" w:cs="仿宋"/>
              <w:sz w:val="24"/>
              <w:szCs w:val="32"/>
            </w:rPr>
            <w:fldChar w:fldCharType="separate"/>
          </w:r>
          <w:r>
            <w:rPr>
              <w:rFonts w:hint="eastAsia" w:ascii="仿宋" w:hAnsi="仿宋" w:eastAsia="仿宋" w:cs="仿宋"/>
              <w:sz w:val="24"/>
              <w:szCs w:val="32"/>
            </w:rPr>
            <w:t>61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_Toc7614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附件6 放射源安全和防护管理办法</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_Toc7614 \h </w:instrText>
          </w:r>
          <w:r>
            <w:rPr>
              <w:rFonts w:hint="eastAsia" w:ascii="仿宋" w:hAnsi="仿宋" w:eastAsia="仿宋" w:cs="仿宋"/>
              <w:sz w:val="24"/>
              <w:szCs w:val="32"/>
            </w:rPr>
            <w:fldChar w:fldCharType="separate"/>
          </w:r>
          <w:r>
            <w:rPr>
              <w:rFonts w:hint="eastAsia" w:ascii="仿宋" w:hAnsi="仿宋" w:eastAsia="仿宋" w:cs="仿宋"/>
              <w:sz w:val="24"/>
              <w:szCs w:val="32"/>
            </w:rPr>
            <w:t>62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_Toc26881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附件7 放射源防护和安全使用管理制度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_Toc26881 \h </w:instrText>
          </w:r>
          <w:r>
            <w:rPr>
              <w:rFonts w:hint="eastAsia" w:ascii="仿宋" w:hAnsi="仿宋" w:eastAsia="仿宋" w:cs="仿宋"/>
              <w:sz w:val="24"/>
              <w:szCs w:val="32"/>
            </w:rPr>
            <w:fldChar w:fldCharType="separate"/>
          </w:r>
          <w:r>
            <w:rPr>
              <w:rFonts w:hint="eastAsia" w:ascii="仿宋" w:hAnsi="仿宋" w:eastAsia="仿宋" w:cs="仿宋"/>
              <w:sz w:val="24"/>
              <w:szCs w:val="32"/>
            </w:rPr>
            <w:t>68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_Toc3955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附件8 辐射岗位工作职责</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_Toc3955 \h </w:instrText>
          </w:r>
          <w:r>
            <w:rPr>
              <w:rFonts w:hint="eastAsia" w:ascii="仿宋" w:hAnsi="仿宋" w:eastAsia="仿宋" w:cs="仿宋"/>
              <w:sz w:val="24"/>
              <w:szCs w:val="32"/>
            </w:rPr>
            <w:fldChar w:fldCharType="separate"/>
          </w:r>
          <w:r>
            <w:rPr>
              <w:rFonts w:hint="eastAsia" w:ascii="仿宋" w:hAnsi="仿宋" w:eastAsia="仿宋" w:cs="仿宋"/>
              <w:sz w:val="24"/>
              <w:szCs w:val="32"/>
            </w:rPr>
            <w:t>71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_Toc9496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附件9 放射源安全操作规程</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_Toc9496 \h </w:instrText>
          </w:r>
          <w:r>
            <w:rPr>
              <w:rFonts w:hint="eastAsia" w:ascii="仿宋" w:hAnsi="仿宋" w:eastAsia="仿宋" w:cs="仿宋"/>
              <w:sz w:val="24"/>
              <w:szCs w:val="32"/>
            </w:rPr>
            <w:fldChar w:fldCharType="separate"/>
          </w:r>
          <w:r>
            <w:rPr>
              <w:rFonts w:hint="eastAsia" w:ascii="仿宋" w:hAnsi="仿宋" w:eastAsia="仿宋" w:cs="仿宋"/>
              <w:sz w:val="24"/>
              <w:szCs w:val="32"/>
            </w:rPr>
            <w:t>72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_Toc9259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附件10 放射源检修维护制度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_Toc9259 \h </w:instrText>
          </w:r>
          <w:r>
            <w:rPr>
              <w:rFonts w:hint="eastAsia" w:ascii="仿宋" w:hAnsi="仿宋" w:eastAsia="仿宋" w:cs="仿宋"/>
              <w:sz w:val="24"/>
              <w:szCs w:val="32"/>
            </w:rPr>
            <w:fldChar w:fldCharType="separate"/>
          </w:r>
          <w:r>
            <w:rPr>
              <w:rFonts w:hint="eastAsia" w:ascii="仿宋" w:hAnsi="仿宋" w:eastAsia="仿宋" w:cs="仿宋"/>
              <w:sz w:val="24"/>
              <w:szCs w:val="32"/>
            </w:rPr>
            <w:t>74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_Toc5661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附件11 辐射工作人员岗位职责</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_Toc5661 \h </w:instrText>
          </w:r>
          <w:r>
            <w:rPr>
              <w:rFonts w:hint="eastAsia" w:ascii="仿宋" w:hAnsi="仿宋" w:eastAsia="仿宋" w:cs="仿宋"/>
              <w:sz w:val="24"/>
              <w:szCs w:val="32"/>
            </w:rPr>
            <w:fldChar w:fldCharType="separate"/>
          </w:r>
          <w:r>
            <w:rPr>
              <w:rFonts w:hint="eastAsia" w:ascii="仿宋" w:hAnsi="仿宋" w:eastAsia="仿宋" w:cs="仿宋"/>
              <w:sz w:val="24"/>
              <w:szCs w:val="32"/>
            </w:rPr>
            <w:t>75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_Toc9529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附件12 放射防护和安全保卫制度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_Toc9529 \h </w:instrText>
          </w:r>
          <w:r>
            <w:rPr>
              <w:rFonts w:hint="eastAsia" w:ascii="仿宋" w:hAnsi="仿宋" w:eastAsia="仿宋" w:cs="仿宋"/>
              <w:sz w:val="24"/>
              <w:szCs w:val="32"/>
            </w:rPr>
            <w:fldChar w:fldCharType="separate"/>
          </w:r>
          <w:r>
            <w:rPr>
              <w:rFonts w:hint="eastAsia" w:ascii="仿宋" w:hAnsi="仿宋" w:eastAsia="仿宋" w:cs="仿宋"/>
              <w:sz w:val="24"/>
              <w:szCs w:val="32"/>
            </w:rPr>
            <w:t>77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_Toc29116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附件13 放射源使用登记制度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_Toc29116 \h </w:instrText>
          </w:r>
          <w:r>
            <w:rPr>
              <w:rFonts w:hint="eastAsia" w:ascii="仿宋" w:hAnsi="仿宋" w:eastAsia="仿宋" w:cs="仿宋"/>
              <w:sz w:val="24"/>
              <w:szCs w:val="32"/>
            </w:rPr>
            <w:fldChar w:fldCharType="separate"/>
          </w:r>
          <w:r>
            <w:rPr>
              <w:rFonts w:hint="eastAsia" w:ascii="仿宋" w:hAnsi="仿宋" w:eastAsia="仿宋" w:cs="仿宋"/>
              <w:sz w:val="24"/>
              <w:szCs w:val="32"/>
            </w:rPr>
            <w:t>79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_Toc25754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附件14 人员培训计划</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_Toc25754 \h </w:instrText>
          </w:r>
          <w:r>
            <w:rPr>
              <w:rFonts w:hint="eastAsia" w:ascii="仿宋" w:hAnsi="仿宋" w:eastAsia="仿宋" w:cs="仿宋"/>
              <w:sz w:val="24"/>
              <w:szCs w:val="32"/>
            </w:rPr>
            <w:fldChar w:fldCharType="separate"/>
          </w:r>
          <w:r>
            <w:rPr>
              <w:rFonts w:hint="eastAsia" w:ascii="仿宋" w:hAnsi="仿宋" w:eastAsia="仿宋" w:cs="仿宋"/>
              <w:sz w:val="24"/>
              <w:szCs w:val="32"/>
            </w:rPr>
            <w:t>80</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_Toc28925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附件15 放射源监测方案</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_Toc28925 \h </w:instrText>
          </w:r>
          <w:r>
            <w:rPr>
              <w:rFonts w:hint="eastAsia" w:ascii="仿宋" w:hAnsi="仿宋" w:eastAsia="仿宋" w:cs="仿宋"/>
              <w:sz w:val="24"/>
              <w:szCs w:val="32"/>
            </w:rPr>
            <w:fldChar w:fldCharType="separate"/>
          </w:r>
          <w:r>
            <w:rPr>
              <w:rFonts w:hint="eastAsia" w:ascii="仿宋" w:hAnsi="仿宋" w:eastAsia="仿宋" w:cs="仿宋"/>
              <w:sz w:val="24"/>
              <w:szCs w:val="32"/>
            </w:rPr>
            <w:t>81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_Toc4681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附件16 大检修辐射安全管理制度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_Toc4681 \h </w:instrText>
          </w:r>
          <w:r>
            <w:rPr>
              <w:rFonts w:hint="eastAsia" w:ascii="仿宋" w:hAnsi="仿宋" w:eastAsia="仿宋" w:cs="仿宋"/>
              <w:sz w:val="24"/>
              <w:szCs w:val="32"/>
            </w:rPr>
            <w:fldChar w:fldCharType="separate"/>
          </w:r>
          <w:r>
            <w:rPr>
              <w:rFonts w:hint="eastAsia" w:ascii="仿宋" w:hAnsi="仿宋" w:eastAsia="仿宋" w:cs="仿宋"/>
              <w:sz w:val="24"/>
              <w:szCs w:val="32"/>
            </w:rPr>
            <w:t>83</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bidi w:val="0"/>
          </w:pPr>
          <w:r>
            <w:rPr>
              <w:rFonts w:hint="eastAsia" w:ascii="仿宋" w:hAnsi="仿宋" w:eastAsia="仿宋" w:cs="仿宋"/>
              <w:szCs w:val="28"/>
              <w:highlight w:val="none"/>
            </w:rPr>
            <w:fldChar w:fldCharType="end"/>
          </w:r>
        </w:p>
      </w:sdtContent>
    </w:sdt>
    <w:p>
      <w:pPr>
        <w:pStyle w:val="4"/>
        <w:bidi w:val="0"/>
        <w:jc w:val="center"/>
        <w:rPr>
          <w:rFonts w:hint="eastAsia" w:ascii="仿宋" w:hAnsi="仿宋" w:eastAsia="仿宋" w:cs="仿宋"/>
          <w:highlight w:val="none"/>
          <w:lang w:val="en-US" w:eastAsia="zh-CN"/>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1" w:name="_Toc29531"/>
    </w:p>
    <w:p>
      <w:pPr>
        <w:pStyle w:val="4"/>
        <w:bidi w:val="0"/>
        <w:jc w:val="center"/>
        <w:rPr>
          <w:rFonts w:hint="eastAsia" w:ascii="仿宋" w:hAnsi="仿宋" w:eastAsia="仿宋" w:cs="仿宋"/>
          <w:highlight w:val="none"/>
        </w:rPr>
      </w:pPr>
      <w:r>
        <w:rPr>
          <w:rFonts w:hint="eastAsia" w:ascii="仿宋" w:hAnsi="仿宋" w:eastAsia="仿宋" w:cs="仿宋"/>
          <w:highlight w:val="none"/>
          <w:lang w:val="en-US" w:eastAsia="zh-CN"/>
        </w:rPr>
        <w:t>一、</w:t>
      </w:r>
      <w:r>
        <w:rPr>
          <w:rFonts w:hint="eastAsia" w:ascii="仿宋" w:hAnsi="仿宋" w:eastAsia="仿宋" w:cs="仿宋"/>
          <w:highlight w:val="none"/>
        </w:rPr>
        <w:t>前言</w:t>
      </w:r>
      <w:bookmarkEnd w:id="0"/>
      <w:bookmarkEnd w:id="1"/>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500万吨年炼油扩能改造项目放射源应用项目。在生产过程中需使用放射源铯-137制成的料位计和密度计来检测装置内物料。分别在15万吨聚丙烯装置安装11台料位计和2台密度计，生产厂家为美国OHHMART；在60万吨重整装置安装9台料位计,生产厂家为美国 Thermofisher。该放射源项目总投资75.9万元，其中环保投资7万元。</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中国石油天然气股份有限公司呼和浩特石化分公司编制完成《500万吨/年炼油扩能改造项目核技术应用项目环境影响登记表》，2012年3月2日内蒙古自治区环境保护厅以内辐环审[2012]003号予以批复。</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委托内蒙古环亚环保咨询有限公司办理中国石油天然气股份有限公司呼和浩特石化分公司500万吨年炼油扩能改造项目放射源应用项目竣工环境保护验收等工作。2017年8月内蒙古自治区环境监测中心站编制完成《建设项目竣工环境保护验收监测报告》（内环站字YS[2017]第002号）。</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4"/>
          <w:highlight w:val="none"/>
          <w:lang w:val="en-US" w:eastAsia="zh-CN"/>
        </w:rPr>
      </w:pPr>
      <w:r>
        <w:rPr>
          <w:rFonts w:hint="eastAsia" w:ascii="仿宋" w:hAnsi="仿宋" w:eastAsia="仿宋" w:cs="仿宋"/>
          <w:color w:val="auto"/>
          <w:sz w:val="28"/>
          <w:szCs w:val="28"/>
          <w:highlight w:val="none"/>
          <w:lang w:val="en-US" w:eastAsia="zh-CN"/>
        </w:rPr>
        <w:t>为贯彻《中华人民共和国突发事件应对法》及其它国家法律、法规及有关文件的要求，有效防范应对发射源突发环境事件，保护人员生命安全，减少单位财产损失，本单位特组织相关部门和机构编制了《</w:t>
      </w:r>
      <w:r>
        <w:rPr>
          <w:rFonts w:hint="eastAsia" w:ascii="仿宋" w:hAnsi="仿宋" w:eastAsia="仿宋" w:cs="仿宋"/>
          <w:snapToGrid w:val="0"/>
          <w:color w:val="auto"/>
          <w:kern w:val="0"/>
          <w:sz w:val="28"/>
          <w:szCs w:val="28"/>
          <w:highlight w:val="none"/>
          <w:lang w:val="en-US" w:eastAsia="zh-CN"/>
        </w:rPr>
        <w:t>中国石油天然气股份有限公司呼和浩特石化分公司</w:t>
      </w:r>
      <w:r>
        <w:rPr>
          <w:rFonts w:hint="eastAsia" w:ascii="仿宋" w:hAnsi="仿宋" w:eastAsia="仿宋" w:cs="仿宋"/>
          <w:color w:val="auto"/>
          <w:sz w:val="28"/>
          <w:szCs w:val="28"/>
          <w:highlight w:val="none"/>
          <w:lang w:val="en-US" w:eastAsia="zh-CN"/>
        </w:rPr>
        <w:t>放射源专项应急预案》。该专项预案是本单位实施放射源突发环境事件应急救援的规范性文件，用于指导本单位针对放射源突发环境事件的应急救援行动。</w:t>
      </w:r>
    </w:p>
    <w:p>
      <w:pPr>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br w:type="page"/>
      </w:r>
    </w:p>
    <w:p>
      <w:pPr>
        <w:pStyle w:val="4"/>
        <w:bidi w:val="0"/>
        <w:jc w:val="center"/>
        <w:rPr>
          <w:rFonts w:hint="eastAsia" w:ascii="仿宋" w:hAnsi="仿宋" w:eastAsia="仿宋" w:cs="仿宋"/>
          <w:highlight w:val="none"/>
        </w:rPr>
      </w:pPr>
      <w:bookmarkStart w:id="2" w:name="_Toc17102"/>
      <w:bookmarkStart w:id="3" w:name="_Toc5103"/>
      <w:r>
        <w:rPr>
          <w:rFonts w:hint="eastAsia" w:ascii="仿宋" w:hAnsi="仿宋" w:eastAsia="仿宋" w:cs="仿宋"/>
          <w:highlight w:val="none"/>
          <w:lang w:val="en-US" w:eastAsia="zh-CN"/>
        </w:rPr>
        <w:t>二、</w:t>
      </w:r>
      <w:r>
        <w:rPr>
          <w:rFonts w:hint="eastAsia" w:ascii="仿宋" w:hAnsi="仿宋" w:eastAsia="仿宋" w:cs="仿宋"/>
          <w:highlight w:val="none"/>
        </w:rPr>
        <w:t>总则</w:t>
      </w:r>
      <w:bookmarkEnd w:id="2"/>
      <w:bookmarkEnd w:id="3"/>
    </w:p>
    <w:p>
      <w:pPr>
        <w:pStyle w:val="5"/>
        <w:bidi w:val="0"/>
        <w:rPr>
          <w:rFonts w:hint="eastAsia" w:ascii="仿宋" w:hAnsi="仿宋" w:eastAsia="仿宋" w:cs="仿宋"/>
          <w:sz w:val="28"/>
          <w:szCs w:val="28"/>
          <w:highlight w:val="none"/>
        </w:rPr>
      </w:pPr>
      <w:bookmarkStart w:id="4" w:name="_Toc12783"/>
      <w:bookmarkStart w:id="5" w:name="_Toc14380"/>
      <w:r>
        <w:rPr>
          <w:rFonts w:hint="eastAsia" w:ascii="仿宋" w:hAnsi="仿宋" w:eastAsia="仿宋" w:cs="仿宋"/>
          <w:sz w:val="28"/>
          <w:szCs w:val="28"/>
          <w:highlight w:val="none"/>
        </w:rPr>
        <w:t>2.1编制目的</w:t>
      </w:r>
      <w:bookmarkEnd w:id="4"/>
      <w:bookmarkEnd w:id="5"/>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为了使放射源泄漏、放射源丢失引起的突发性环境污染事件，得到安全及时处理，提高应急救援反应速度，及时、有效地控制和消除辐射污染，减少放射源对周围环境、工作场所及人身的辐射，最大限度地降低危害和损失，保障公司员工身心健康，维护正常的生产和生活秩序，掌握自身状况，明确防控措施，为后期的放射源管理奠定基础，同时有利于环保部门加强对重点放射源企业的针对性监督管理，提高管理效率，降低管理成本，特编制本应急预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500万吨年炼油扩能改造项目放射源应用项目在生产过程中需使用放射源铯-137制成的料位计和密度计来检测装置内物料。分别在15万吨聚丙烯装置和60万吨重整装置上安装含铯137放射源料位计20台，密度计2台，其中6枚为Ⅳ类放射源，16枚为Ⅴ类放射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15万吨聚丙烯装置安装11台料位计和2台密度计，生产厂家为美国OHHMART；60万吨重整装置安装9台料位计,生产厂家为美国 Thermofisher。</w:t>
      </w:r>
    </w:p>
    <w:p>
      <w:pPr>
        <w:pStyle w:val="5"/>
        <w:bidi w:val="0"/>
        <w:rPr>
          <w:rFonts w:hint="eastAsia" w:ascii="仿宋" w:hAnsi="仿宋" w:eastAsia="仿宋" w:cs="仿宋"/>
          <w:sz w:val="28"/>
          <w:szCs w:val="28"/>
          <w:highlight w:val="none"/>
        </w:rPr>
      </w:pPr>
      <w:bookmarkStart w:id="6" w:name="_Toc26619"/>
      <w:r>
        <w:rPr>
          <w:rFonts w:hint="eastAsia" w:ascii="仿宋" w:hAnsi="仿宋" w:eastAsia="仿宋" w:cs="仿宋"/>
          <w:sz w:val="28"/>
          <w:szCs w:val="28"/>
          <w:highlight w:val="none"/>
        </w:rPr>
        <w:t>2.</w:t>
      </w:r>
      <w:r>
        <w:rPr>
          <w:rFonts w:hint="eastAsia" w:ascii="仿宋" w:hAnsi="仿宋" w:eastAsia="仿宋" w:cs="仿宋"/>
          <w:sz w:val="28"/>
          <w:szCs w:val="28"/>
          <w:highlight w:val="none"/>
          <w:lang w:val="en-US" w:eastAsia="zh-CN"/>
        </w:rPr>
        <w:t>2</w:t>
      </w:r>
      <w:r>
        <w:rPr>
          <w:rFonts w:hint="eastAsia" w:ascii="仿宋" w:hAnsi="仿宋" w:eastAsia="仿宋" w:cs="仿宋"/>
          <w:sz w:val="28"/>
          <w:szCs w:val="28"/>
          <w:highlight w:val="none"/>
        </w:rPr>
        <w:t>适用范围</w:t>
      </w:r>
      <w:bookmarkEnd w:id="6"/>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中国石油天然气股份有限公司呼和浩特石化分公司内发生的突发性放射源泄漏、丢失事件。</w:t>
      </w:r>
    </w:p>
    <w:p>
      <w:pPr>
        <w:pStyle w:val="5"/>
        <w:bidi w:val="0"/>
        <w:rPr>
          <w:rFonts w:hint="eastAsia" w:ascii="仿宋" w:hAnsi="仿宋" w:eastAsia="仿宋" w:cs="仿宋"/>
          <w:sz w:val="28"/>
          <w:szCs w:val="28"/>
          <w:highlight w:val="none"/>
        </w:rPr>
      </w:pPr>
      <w:bookmarkStart w:id="7" w:name="_Toc14253"/>
      <w:bookmarkStart w:id="8" w:name="_Toc8477"/>
      <w:r>
        <w:rPr>
          <w:rFonts w:hint="eastAsia" w:ascii="仿宋" w:hAnsi="仿宋" w:eastAsia="仿宋" w:cs="仿宋"/>
          <w:sz w:val="28"/>
          <w:szCs w:val="28"/>
          <w:highlight w:val="none"/>
        </w:rPr>
        <w:t>2.</w:t>
      </w:r>
      <w:r>
        <w:rPr>
          <w:rFonts w:hint="eastAsia" w:ascii="仿宋" w:hAnsi="仿宋" w:eastAsia="仿宋" w:cs="仿宋"/>
          <w:sz w:val="28"/>
          <w:szCs w:val="28"/>
          <w:highlight w:val="none"/>
          <w:lang w:val="en-US" w:eastAsia="zh-CN"/>
        </w:rPr>
        <w:t>3</w:t>
      </w:r>
      <w:r>
        <w:rPr>
          <w:rFonts w:hint="eastAsia" w:ascii="仿宋" w:hAnsi="仿宋" w:eastAsia="仿宋" w:cs="仿宋"/>
          <w:sz w:val="28"/>
          <w:szCs w:val="28"/>
          <w:highlight w:val="none"/>
        </w:rPr>
        <w:t>编制依据</w:t>
      </w:r>
      <w:bookmarkEnd w:id="7"/>
      <w:bookmarkEnd w:id="8"/>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（1）《中华人民共和国放射性污染防治法》，全国人大常务委员会，2003年10月；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（2）《国家突发环境事件应急预案》国办函[2014]119号；</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（3）《关于发布射线装置分类办法的公告》，国家环境保护总局公告2006年第26号，2006年5月；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（4）《放射性同位素与射线装置安全和防护条例》，(2014年修订)，国务院令第449号，2014年7月；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（5）《放射性同位素与射线装置安全许可管理办法》，环保部令第3号，2008年12月；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（6）《放射性同位素与射线装置安全和防护管理办法》，环保部第18号令，2011年5月；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（7）《使用密封放射源卫生防护标准》（GB 16354-1996）；</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（8）《含密封源仪表的卫生防护标准》（GBZ 125-2002）；</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color w:val="auto"/>
          <w:sz w:val="28"/>
          <w:szCs w:val="28"/>
          <w:highlight w:val="none"/>
          <w:lang w:val="en-US" w:eastAsia="zh-CN"/>
        </w:rPr>
        <w:t>（9）《放射工作人员健康要求及监护规范》（GBZ 98—2020）。</w:t>
      </w:r>
      <w:r>
        <w:rPr>
          <w:rFonts w:hint="eastAsia" w:ascii="仿宋" w:hAnsi="仿宋" w:eastAsia="仿宋" w:cs="仿宋"/>
          <w:snapToGrid w:val="0"/>
          <w:color w:val="auto"/>
          <w:kern w:val="0"/>
          <w:sz w:val="28"/>
          <w:szCs w:val="28"/>
          <w:highlight w:val="none"/>
          <w:lang w:val="en-US" w:eastAsia="zh-CN"/>
        </w:rPr>
        <w:br w:type="page"/>
      </w:r>
    </w:p>
    <w:p>
      <w:pPr>
        <w:pStyle w:val="4"/>
        <w:bidi w:val="0"/>
        <w:rPr>
          <w:rFonts w:hint="eastAsia" w:ascii="仿宋" w:hAnsi="仿宋" w:eastAsia="仿宋" w:cs="仿宋"/>
          <w:highlight w:val="none"/>
        </w:rPr>
      </w:pPr>
      <w:bookmarkStart w:id="9" w:name="_Toc11344"/>
      <w:bookmarkStart w:id="10" w:name="_Toc19753"/>
      <w:r>
        <w:rPr>
          <w:rFonts w:hint="eastAsia" w:ascii="仿宋" w:hAnsi="仿宋" w:eastAsia="仿宋" w:cs="仿宋"/>
          <w:highlight w:val="none"/>
          <w:lang w:val="en-US" w:eastAsia="zh-CN"/>
        </w:rPr>
        <w:t>三、</w:t>
      </w:r>
      <w:r>
        <w:rPr>
          <w:rFonts w:hint="eastAsia" w:ascii="仿宋" w:hAnsi="仿宋" w:eastAsia="仿宋" w:cs="仿宋"/>
          <w:highlight w:val="none"/>
        </w:rPr>
        <w:t>项目概况</w:t>
      </w:r>
      <w:bookmarkEnd w:id="9"/>
      <w:bookmarkEnd w:id="10"/>
    </w:p>
    <w:p>
      <w:pPr>
        <w:pStyle w:val="5"/>
        <w:bidi w:val="0"/>
        <w:rPr>
          <w:rFonts w:hint="eastAsia" w:ascii="仿宋" w:hAnsi="仿宋" w:eastAsia="仿宋" w:cs="仿宋"/>
          <w:sz w:val="28"/>
          <w:szCs w:val="28"/>
          <w:highlight w:val="none"/>
        </w:rPr>
      </w:pPr>
      <w:bookmarkStart w:id="11" w:name="_Toc5424"/>
      <w:bookmarkStart w:id="12" w:name="_Toc22833"/>
      <w:r>
        <w:rPr>
          <w:rFonts w:hint="eastAsia" w:ascii="仿宋" w:hAnsi="仿宋" w:eastAsia="仿宋" w:cs="仿宋"/>
          <w:sz w:val="28"/>
          <w:szCs w:val="28"/>
          <w:highlight w:val="none"/>
        </w:rPr>
        <w:t>3.1企业概况</w:t>
      </w:r>
      <w:bookmarkEnd w:id="11"/>
      <w:bookmarkEnd w:id="1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中国石油天然气股份有限公司呼和浩特石化分公司位于呼和浩特市赛罕区金河镇。地理坐标北纬40°44'29.18"，东经111°45'7.35"。厂址地理位置见图3-1，厂区周边情况图见图3-2。厂区平面布置图见图3-3。</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分别在15万吨聚丙烯装置和60万吨重整装置上安装含铯137放射源料位计20台，密度计2台，其中6枚为Ⅳ类放射源，16枚为Ⅴ类放射源。放射源铯137是由美国OHMART和美国Thermofisher提供。</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分别在15万吨聚丙烯装置和60万吨重整装置上安装含铯137放射源料位计20台，密度计2台，其中6枚为Ⅳ类放射源，16枚为Ⅴ类放射源。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15万吨聚丙烯装置安装11台料位计和2台密度计，生产厂家为美国OHHMART；60万吨重整装置安装9台料位计,生产厂家为美国 Thermofisher。</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中国石油天然气股份有限公司呼和浩特石化分公司分别放射源具体情况见表3-1。</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z w:val="28"/>
          <w:szCs w:val="28"/>
          <w:highlight w:val="none"/>
        </w:rPr>
      </w:pPr>
    </w:p>
    <w:p>
      <w:pPr>
        <w:pageBreakBefore w:val="0"/>
        <w:kinsoku/>
        <w:wordWrap/>
        <w:overflowPunct/>
        <w:topLinePunct w:val="0"/>
        <w:autoSpaceDE w:val="0"/>
        <w:autoSpaceDN w:val="0"/>
        <w:bidi w:val="0"/>
        <w:adjustRightInd w:val="0"/>
        <w:spacing w:line="360" w:lineRule="auto"/>
        <w:ind w:firstLine="480" w:firstLineChars="200"/>
        <w:jc w:val="left"/>
        <w:rPr>
          <w:rFonts w:hint="eastAsia" w:ascii="仿宋" w:hAnsi="仿宋" w:eastAsia="仿宋" w:cs="仿宋"/>
          <w:snapToGrid w:val="0"/>
          <w:color w:val="auto"/>
          <w:kern w:val="0"/>
          <w:sz w:val="24"/>
          <w:szCs w:val="21"/>
          <w:highlight w:val="none"/>
          <w:lang w:val="en-US" w:eastAsia="zh-CN"/>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ageBreakBefore w:val="0"/>
        <w:kinsoku/>
        <w:wordWrap/>
        <w:overflowPunct/>
        <w:topLinePunct w:val="0"/>
        <w:autoSpaceDE w:val="0"/>
        <w:autoSpaceDN w:val="0"/>
        <w:bidi w:val="0"/>
        <w:adjustRightInd w:val="0"/>
        <w:spacing w:line="360" w:lineRule="auto"/>
        <w:ind w:firstLine="420" w:firstLineChars="200"/>
        <w:jc w:val="left"/>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highlight w:val="none"/>
        </w:rPr>
        <w:drawing>
          <wp:inline distT="0" distB="0" distL="114300" distR="114300">
            <wp:extent cx="8399780" cy="4928870"/>
            <wp:effectExtent l="0" t="0" r="12700" b="889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7"/>
                    <a:stretch>
                      <a:fillRect/>
                    </a:stretch>
                  </pic:blipFill>
                  <pic:spPr>
                    <a:xfrm>
                      <a:off x="0" y="0"/>
                      <a:ext cx="8399780" cy="4928870"/>
                    </a:xfrm>
                    <a:prstGeom prst="rect">
                      <a:avLst/>
                    </a:prstGeom>
                    <a:noFill/>
                    <a:ln>
                      <a:noFill/>
                    </a:ln>
                  </pic:spPr>
                </pic:pic>
              </a:graphicData>
            </a:graphic>
          </wp:inline>
        </w:drawing>
      </w:r>
    </w:p>
    <w:p>
      <w:pPr>
        <w:pageBreakBefore w:val="0"/>
        <w:kinsoku/>
        <w:wordWrap/>
        <w:overflowPunct/>
        <w:topLinePunct w:val="0"/>
        <w:autoSpaceDE w:val="0"/>
        <w:autoSpaceDN w:val="0"/>
        <w:bidi w:val="0"/>
        <w:adjustRightInd w:val="0"/>
        <w:spacing w:line="360" w:lineRule="auto"/>
        <w:ind w:firstLine="560" w:firstLineChars="200"/>
        <w:jc w:val="center"/>
        <w:rPr>
          <w:rFonts w:hint="eastAsia" w:ascii="仿宋" w:hAnsi="仿宋" w:eastAsia="仿宋" w:cs="仿宋"/>
          <w:snapToGrid w:val="0"/>
          <w:color w:val="auto"/>
          <w:kern w:val="0"/>
          <w:sz w:val="28"/>
          <w:szCs w:val="28"/>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仿宋" w:hAnsi="仿宋" w:eastAsia="仿宋" w:cs="仿宋"/>
          <w:snapToGrid w:val="0"/>
          <w:color w:val="auto"/>
          <w:kern w:val="0"/>
          <w:sz w:val="28"/>
          <w:szCs w:val="28"/>
          <w:highlight w:val="none"/>
          <w:lang w:val="en-US" w:eastAsia="zh-CN"/>
        </w:rPr>
        <w:t>图3-1 厂址地理位置图</w:t>
      </w:r>
    </w:p>
    <w:p>
      <w:pPr>
        <w:pageBreakBefore w:val="0"/>
        <w:kinsoku/>
        <w:wordWrap/>
        <w:overflowPunct/>
        <w:topLinePunct w:val="0"/>
        <w:autoSpaceDE w:val="0"/>
        <w:autoSpaceDN w:val="0"/>
        <w:bidi w:val="0"/>
        <w:adjustRightInd w:val="0"/>
        <w:spacing w:line="360" w:lineRule="auto"/>
        <w:jc w:val="both"/>
        <w:rPr>
          <w:rFonts w:hint="eastAsia" w:ascii="仿宋" w:hAnsi="仿宋" w:eastAsia="仿宋" w:cs="仿宋"/>
          <w:b/>
          <w:bCs/>
          <w:snapToGrid w:val="0"/>
          <w:color w:val="auto"/>
          <w:kern w:val="0"/>
          <w:sz w:val="21"/>
          <w:szCs w:val="21"/>
          <w:highlight w:val="none"/>
          <w:lang w:val="en-US" w:eastAsia="zh-CN"/>
        </w:rPr>
      </w:pPr>
      <w:r>
        <w:rPr>
          <w:rFonts w:hint="eastAsia" w:ascii="仿宋" w:hAnsi="仿宋" w:eastAsia="仿宋" w:cs="仿宋"/>
          <w:b/>
          <w:bCs/>
          <w:snapToGrid w:val="0"/>
          <w:color w:val="auto"/>
          <w:kern w:val="0"/>
          <w:sz w:val="21"/>
          <w:szCs w:val="21"/>
          <w:highlight w:val="none"/>
          <w:lang w:val="en-US" w:eastAsia="zh-CN"/>
        </w:rPr>
        <w:drawing>
          <wp:inline distT="0" distB="0" distL="114300" distR="114300">
            <wp:extent cx="8816975" cy="4871720"/>
            <wp:effectExtent l="0" t="0" r="6985" b="5080"/>
            <wp:docPr id="116" name="图片 116" descr="厂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厂界"/>
                    <pic:cNvPicPr>
                      <a:picLocks noChangeAspect="1"/>
                    </pic:cNvPicPr>
                  </pic:nvPicPr>
                  <pic:blipFill>
                    <a:blip r:embed="rId8"/>
                    <a:stretch>
                      <a:fillRect/>
                    </a:stretch>
                  </pic:blipFill>
                  <pic:spPr>
                    <a:xfrm>
                      <a:off x="0" y="0"/>
                      <a:ext cx="8816975" cy="4871720"/>
                    </a:xfrm>
                    <a:prstGeom prst="rect">
                      <a:avLst/>
                    </a:prstGeom>
                  </pic:spPr>
                </pic:pic>
              </a:graphicData>
            </a:graphic>
          </wp:inline>
        </w:drawing>
      </w:r>
    </w:p>
    <w:p>
      <w:pPr>
        <w:pageBreakBefore w:val="0"/>
        <w:kinsoku/>
        <w:wordWrap/>
        <w:overflowPunct/>
        <w:topLinePunct w:val="0"/>
        <w:autoSpaceDE w:val="0"/>
        <w:autoSpaceDN w:val="0"/>
        <w:bidi w:val="0"/>
        <w:adjustRightInd w:val="0"/>
        <w:spacing w:line="360" w:lineRule="auto"/>
        <w:ind w:firstLine="560" w:firstLineChars="200"/>
        <w:jc w:val="center"/>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图3-2   厂区边界及周边情况图</w:t>
      </w:r>
    </w:p>
    <w:p>
      <w:pPr>
        <w:pageBreakBefore w:val="0"/>
        <w:kinsoku/>
        <w:wordWrap/>
        <w:overflowPunct/>
        <w:topLinePunct w:val="0"/>
        <w:autoSpaceDE w:val="0"/>
        <w:autoSpaceDN w:val="0"/>
        <w:bidi w:val="0"/>
        <w:adjustRightInd w:val="0"/>
        <w:spacing w:line="360" w:lineRule="auto"/>
        <w:ind w:firstLine="420" w:firstLineChars="0"/>
        <w:jc w:val="both"/>
        <w:rPr>
          <w:rFonts w:hint="eastAsia" w:ascii="仿宋" w:hAnsi="仿宋" w:eastAsia="仿宋" w:cs="仿宋"/>
          <w:b/>
          <w:bCs/>
          <w:snapToGrid w:val="0"/>
          <w:color w:val="auto"/>
          <w:kern w:val="0"/>
          <w:sz w:val="21"/>
          <w:szCs w:val="21"/>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bCs/>
          <w:snapToGrid w:val="0"/>
          <w:color w:val="auto"/>
          <w:kern w:val="0"/>
          <w:sz w:val="21"/>
          <w:szCs w:val="21"/>
          <w:highlight w:val="none"/>
          <w:lang w:val="en-US" w:eastAsia="zh-CN"/>
        </w:rPr>
      </w:pPr>
      <w:r>
        <w:rPr>
          <w:rFonts w:hint="eastAsia" w:ascii="仿宋" w:hAnsi="仿宋" w:eastAsia="仿宋" w:cs="仿宋"/>
          <w:sz w:val="28"/>
          <w:highlight w:val="none"/>
        </w:rPr>
        <mc:AlternateContent>
          <mc:Choice Requires="wps">
            <w:drawing>
              <wp:anchor distT="0" distB="0" distL="114300" distR="114300" simplePos="0" relativeHeight="251663360" behindDoc="0" locked="0" layoutInCell="1" allowOverlap="1">
                <wp:simplePos x="0" y="0"/>
                <wp:positionH relativeFrom="column">
                  <wp:posOffset>1844040</wp:posOffset>
                </wp:positionH>
                <wp:positionV relativeFrom="paragraph">
                  <wp:posOffset>627380</wp:posOffset>
                </wp:positionV>
                <wp:extent cx="6573520" cy="3639820"/>
                <wp:effectExtent l="6350" t="6350" r="19050" b="11430"/>
                <wp:wrapNone/>
                <wp:docPr id="128" name="任意多边形 128"/>
                <wp:cNvGraphicFramePr/>
                <a:graphic xmlns:a="http://schemas.openxmlformats.org/drawingml/2006/main">
                  <a:graphicData uri="http://schemas.microsoft.com/office/word/2010/wordprocessingShape">
                    <wps:wsp>
                      <wps:cNvSpPr/>
                      <wps:spPr>
                        <a:xfrm>
                          <a:off x="2758440" y="1770380"/>
                          <a:ext cx="6573520" cy="3639820"/>
                        </a:xfrm>
                        <a:custGeom>
                          <a:avLst/>
                          <a:gdLst>
                            <a:gd name="connsiteX0" fmla="*/ 30 w 10352"/>
                            <a:gd name="connsiteY0" fmla="*/ 1780 h 5732"/>
                            <a:gd name="connsiteX1" fmla="*/ 1068 w 10352"/>
                            <a:gd name="connsiteY1" fmla="*/ 1786 h 5732"/>
                            <a:gd name="connsiteX2" fmla="*/ 1038 w 10352"/>
                            <a:gd name="connsiteY2" fmla="*/ 2902 h 5732"/>
                            <a:gd name="connsiteX3" fmla="*/ 1002 w 10352"/>
                            <a:gd name="connsiteY3" fmla="*/ 4710 h 5732"/>
                            <a:gd name="connsiteX4" fmla="*/ 2496 w 10352"/>
                            <a:gd name="connsiteY4" fmla="*/ 4727 h 5732"/>
                            <a:gd name="connsiteX5" fmla="*/ 2490 w 10352"/>
                            <a:gd name="connsiteY5" fmla="*/ 5726 h 5732"/>
                            <a:gd name="connsiteX6" fmla="*/ 3366 w 10352"/>
                            <a:gd name="connsiteY6" fmla="*/ 5732 h 5732"/>
                            <a:gd name="connsiteX7" fmla="*/ 3360 w 10352"/>
                            <a:gd name="connsiteY7" fmla="*/ 4838 h 5732"/>
                            <a:gd name="connsiteX8" fmla="*/ 4228 w 10352"/>
                            <a:gd name="connsiteY8" fmla="*/ 4841 h 5732"/>
                            <a:gd name="connsiteX9" fmla="*/ 4422 w 10352"/>
                            <a:gd name="connsiteY9" fmla="*/ 4712 h 5732"/>
                            <a:gd name="connsiteX10" fmla="*/ 4632 w 10352"/>
                            <a:gd name="connsiteY10" fmla="*/ 4640 h 5732"/>
                            <a:gd name="connsiteX11" fmla="*/ 4818 w 10352"/>
                            <a:gd name="connsiteY11" fmla="*/ 4550 h 5732"/>
                            <a:gd name="connsiteX12" fmla="*/ 4950 w 10352"/>
                            <a:gd name="connsiteY12" fmla="*/ 4496 h 5732"/>
                            <a:gd name="connsiteX13" fmla="*/ 5394 w 10352"/>
                            <a:gd name="connsiteY13" fmla="*/ 4508 h 5732"/>
                            <a:gd name="connsiteX14" fmla="*/ 6126 w 10352"/>
                            <a:gd name="connsiteY14" fmla="*/ 4498 h 5732"/>
                            <a:gd name="connsiteX15" fmla="*/ 6130 w 10352"/>
                            <a:gd name="connsiteY15" fmla="*/ 4396 h 5732"/>
                            <a:gd name="connsiteX16" fmla="*/ 6624 w 10352"/>
                            <a:gd name="connsiteY16" fmla="*/ 4266 h 5732"/>
                            <a:gd name="connsiteX17" fmla="*/ 6984 w 10352"/>
                            <a:gd name="connsiteY17" fmla="*/ 4177 h 5732"/>
                            <a:gd name="connsiteX18" fmla="*/ 8988 w 10352"/>
                            <a:gd name="connsiteY18" fmla="*/ 3830 h 5732"/>
                            <a:gd name="connsiteX19" fmla="*/ 9322 w 10352"/>
                            <a:gd name="connsiteY19" fmla="*/ 3727 h 5732"/>
                            <a:gd name="connsiteX20" fmla="*/ 9292 w 10352"/>
                            <a:gd name="connsiteY20" fmla="*/ 3536 h 5732"/>
                            <a:gd name="connsiteX21" fmla="*/ 10352 w 10352"/>
                            <a:gd name="connsiteY21" fmla="*/ 3286 h 5732"/>
                            <a:gd name="connsiteX22" fmla="*/ 10232 w 10352"/>
                            <a:gd name="connsiteY22" fmla="*/ 2846 h 5732"/>
                            <a:gd name="connsiteX23" fmla="*/ 9767 w 10352"/>
                            <a:gd name="connsiteY23" fmla="*/ 2986 h 5732"/>
                            <a:gd name="connsiteX24" fmla="*/ 9787 w 10352"/>
                            <a:gd name="connsiteY24" fmla="*/ 3081 h 5732"/>
                            <a:gd name="connsiteX25" fmla="*/ 9512 w 10352"/>
                            <a:gd name="connsiteY25" fmla="*/ 3176 h 5732"/>
                            <a:gd name="connsiteX26" fmla="*/ 9072 w 10352"/>
                            <a:gd name="connsiteY26" fmla="*/ 3312 h 5732"/>
                            <a:gd name="connsiteX27" fmla="*/ 9120 w 10352"/>
                            <a:gd name="connsiteY27" fmla="*/ 3536 h 5732"/>
                            <a:gd name="connsiteX28" fmla="*/ 6216 w 10352"/>
                            <a:gd name="connsiteY28" fmla="*/ 4232 h 5732"/>
                            <a:gd name="connsiteX29" fmla="*/ 5920 w 10352"/>
                            <a:gd name="connsiteY29" fmla="*/ 3848 h 5732"/>
                            <a:gd name="connsiteX30" fmla="*/ 4832 w 10352"/>
                            <a:gd name="connsiteY30" fmla="*/ 3672 h 5732"/>
                            <a:gd name="connsiteX31" fmla="*/ 4680 w 10352"/>
                            <a:gd name="connsiteY31" fmla="*/ 3568 h 5732"/>
                            <a:gd name="connsiteX32" fmla="*/ 4592 w 10352"/>
                            <a:gd name="connsiteY32" fmla="*/ 3440 h 5732"/>
                            <a:gd name="connsiteX33" fmla="*/ 4504 w 10352"/>
                            <a:gd name="connsiteY33" fmla="*/ 3360 h 5732"/>
                            <a:gd name="connsiteX34" fmla="*/ 4456 w 10352"/>
                            <a:gd name="connsiteY34" fmla="*/ 3240 h 5732"/>
                            <a:gd name="connsiteX35" fmla="*/ 4408 w 10352"/>
                            <a:gd name="connsiteY35" fmla="*/ 3120 h 5732"/>
                            <a:gd name="connsiteX36" fmla="*/ 4408 w 10352"/>
                            <a:gd name="connsiteY36" fmla="*/ 2992 h 5732"/>
                            <a:gd name="connsiteX37" fmla="*/ 4408 w 10352"/>
                            <a:gd name="connsiteY37" fmla="*/ 472 h 5732"/>
                            <a:gd name="connsiteX38" fmla="*/ 2992 w 10352"/>
                            <a:gd name="connsiteY38" fmla="*/ 48 h 5732"/>
                            <a:gd name="connsiteX39" fmla="*/ 2752 w 10352"/>
                            <a:gd name="connsiteY39" fmla="*/ 0 h 5732"/>
                            <a:gd name="connsiteX40" fmla="*/ 2608 w 10352"/>
                            <a:gd name="connsiteY40" fmla="*/ 0 h 5732"/>
                            <a:gd name="connsiteX41" fmla="*/ 2240 w 10352"/>
                            <a:gd name="connsiteY41" fmla="*/ 0 h 5732"/>
                            <a:gd name="connsiteX42" fmla="*/ 2048 w 10352"/>
                            <a:gd name="connsiteY42" fmla="*/ 32 h 5732"/>
                            <a:gd name="connsiteX43" fmla="*/ 1616 w 10352"/>
                            <a:gd name="connsiteY43" fmla="*/ 136 h 5732"/>
                            <a:gd name="connsiteX44" fmla="*/ 1112 w 10352"/>
                            <a:gd name="connsiteY44" fmla="*/ 448 h 5732"/>
                            <a:gd name="connsiteX45" fmla="*/ 720 w 10352"/>
                            <a:gd name="connsiteY45" fmla="*/ 656 h 5732"/>
                            <a:gd name="connsiteX46" fmla="*/ 408 w 10352"/>
                            <a:gd name="connsiteY46" fmla="*/ 824 h 5732"/>
                            <a:gd name="connsiteX47" fmla="*/ 272 w 10352"/>
                            <a:gd name="connsiteY47" fmla="*/ 952 h 5732"/>
                            <a:gd name="connsiteX48" fmla="*/ 144 w 10352"/>
                            <a:gd name="connsiteY48" fmla="*/ 1080 h 5732"/>
                            <a:gd name="connsiteX49" fmla="*/ 40 w 10352"/>
                            <a:gd name="connsiteY49" fmla="*/ 1216 h 5732"/>
                            <a:gd name="connsiteX50" fmla="*/ 0 w 10352"/>
                            <a:gd name="connsiteY50" fmla="*/ 1488 h 5732"/>
                            <a:gd name="connsiteX51" fmla="*/ 30 w 10352"/>
                            <a:gd name="connsiteY51" fmla="*/ 1780 h 57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10352" h="5732">
                              <a:moveTo>
                                <a:pt x="30" y="1780"/>
                              </a:moveTo>
                              <a:lnTo>
                                <a:pt x="1068" y="1786"/>
                              </a:lnTo>
                              <a:lnTo>
                                <a:pt x="1038" y="2902"/>
                              </a:lnTo>
                              <a:lnTo>
                                <a:pt x="1002" y="4710"/>
                              </a:lnTo>
                              <a:lnTo>
                                <a:pt x="2496" y="4727"/>
                              </a:lnTo>
                              <a:lnTo>
                                <a:pt x="2490" y="5726"/>
                              </a:lnTo>
                              <a:lnTo>
                                <a:pt x="3366" y="5732"/>
                              </a:lnTo>
                              <a:lnTo>
                                <a:pt x="3360" y="4838"/>
                              </a:lnTo>
                              <a:lnTo>
                                <a:pt x="4228" y="4841"/>
                              </a:lnTo>
                              <a:lnTo>
                                <a:pt x="4422" y="4712"/>
                              </a:lnTo>
                              <a:lnTo>
                                <a:pt x="4632" y="4640"/>
                              </a:lnTo>
                              <a:lnTo>
                                <a:pt x="4818" y="4550"/>
                              </a:lnTo>
                              <a:lnTo>
                                <a:pt x="4950" y="4496"/>
                              </a:lnTo>
                              <a:lnTo>
                                <a:pt x="5394" y="4508"/>
                              </a:lnTo>
                              <a:lnTo>
                                <a:pt x="6126" y="4498"/>
                              </a:lnTo>
                              <a:lnTo>
                                <a:pt x="6130" y="4396"/>
                              </a:lnTo>
                              <a:lnTo>
                                <a:pt x="6624" y="4266"/>
                              </a:lnTo>
                              <a:lnTo>
                                <a:pt x="6984" y="4177"/>
                              </a:lnTo>
                              <a:lnTo>
                                <a:pt x="8988" y="3830"/>
                              </a:lnTo>
                              <a:lnTo>
                                <a:pt x="9322" y="3727"/>
                              </a:lnTo>
                              <a:lnTo>
                                <a:pt x="9292" y="3536"/>
                              </a:lnTo>
                              <a:lnTo>
                                <a:pt x="10352" y="3286"/>
                              </a:lnTo>
                              <a:lnTo>
                                <a:pt x="10232" y="2846"/>
                              </a:lnTo>
                              <a:lnTo>
                                <a:pt x="9767" y="2986"/>
                              </a:lnTo>
                              <a:lnTo>
                                <a:pt x="9787" y="3081"/>
                              </a:lnTo>
                              <a:lnTo>
                                <a:pt x="9512" y="3176"/>
                              </a:lnTo>
                              <a:lnTo>
                                <a:pt x="9072" y="3312"/>
                              </a:lnTo>
                              <a:lnTo>
                                <a:pt x="9120" y="3536"/>
                              </a:lnTo>
                              <a:lnTo>
                                <a:pt x="6216" y="4232"/>
                              </a:lnTo>
                              <a:lnTo>
                                <a:pt x="5920" y="3848"/>
                              </a:lnTo>
                              <a:lnTo>
                                <a:pt x="4832" y="3672"/>
                              </a:lnTo>
                              <a:lnTo>
                                <a:pt x="4680" y="3568"/>
                              </a:lnTo>
                              <a:lnTo>
                                <a:pt x="4592" y="3440"/>
                              </a:lnTo>
                              <a:lnTo>
                                <a:pt x="4504" y="3360"/>
                              </a:lnTo>
                              <a:lnTo>
                                <a:pt x="4456" y="3240"/>
                              </a:lnTo>
                              <a:lnTo>
                                <a:pt x="4408" y="3120"/>
                              </a:lnTo>
                              <a:lnTo>
                                <a:pt x="4408" y="2992"/>
                              </a:lnTo>
                              <a:lnTo>
                                <a:pt x="4408" y="472"/>
                              </a:lnTo>
                              <a:lnTo>
                                <a:pt x="2992" y="48"/>
                              </a:lnTo>
                              <a:lnTo>
                                <a:pt x="2752" y="0"/>
                              </a:lnTo>
                              <a:lnTo>
                                <a:pt x="2608" y="0"/>
                              </a:lnTo>
                              <a:lnTo>
                                <a:pt x="2240" y="0"/>
                              </a:lnTo>
                              <a:lnTo>
                                <a:pt x="2048" y="32"/>
                              </a:lnTo>
                              <a:lnTo>
                                <a:pt x="1616" y="136"/>
                              </a:lnTo>
                              <a:lnTo>
                                <a:pt x="1112" y="448"/>
                              </a:lnTo>
                              <a:lnTo>
                                <a:pt x="720" y="656"/>
                              </a:lnTo>
                              <a:lnTo>
                                <a:pt x="408" y="824"/>
                              </a:lnTo>
                              <a:lnTo>
                                <a:pt x="272" y="952"/>
                              </a:lnTo>
                              <a:lnTo>
                                <a:pt x="144" y="1080"/>
                              </a:lnTo>
                              <a:lnTo>
                                <a:pt x="40" y="1216"/>
                              </a:lnTo>
                              <a:lnTo>
                                <a:pt x="0" y="1488"/>
                              </a:lnTo>
                              <a:lnTo>
                                <a:pt x="30" y="178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5.2pt;margin-top:49.4pt;height:286.6pt;width:517.6pt;z-index:251663360;mso-width-relative:page;mso-height-relative:page;" filled="f" stroked="t" coordsize="10352,5732" o:gfxdata="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" path="m30,1780l1068,1786,1038,2902,1002,4710,2496,4727,2490,5726,3366,5732,3360,4838,4228,4841,4422,4712,4632,4640,4818,4550,4950,4496,5394,4508,6126,4498,6130,4396,6624,4266,6984,4177,8988,3830,9322,3727,9292,3536,10352,3286,10232,2846,9767,2986,9787,3081,9512,3176,9072,3312,9120,3536,6216,4232,5920,3848,4832,3672,4680,3568,4592,3440,4504,3360,4456,3240,4408,3120,4408,2992,4408,472,2992,48,2752,0,2608,0,2240,0,2048,32,1616,136,1112,448,720,656,408,824,272,952,144,1080,40,1216,0,1488,30,1780xe">
                <v:path o:connectlocs="19050,1130300;678180,1134110;659130,1842770;636270,2990850;1584960,3001645;1581150,3636010;2137410,3639820;2133600,3072130;2684780,3074035;2807970,2992120;2941320,2946400;3059430,2889250;3143250,2854960;3425190,2862580;3890010,2856230;3892550,2791460;4206240,2708910;4434840,2652395;5707380,2432050;5919470,2366645;5900420,2245360;6573520,2086610;6497320,1807210;6202045,1896110;6214745,1956435;6040120,2016760;5760720,2103120;5791200,2245360;3947160,2687320;3759200,2443480;3068320,2331720;2971800,2265680;2915920,2184400;2860040,2133600;2829560,2057400;2799080,1981200;2799080,1899920;2799080,299720;1899920,30480;1747520,0;1656080,0;1422400,0;1300480,20320;1026160,86360;706120,284480;457200,416560;259080,523240;172720,604520;91440,685800;25400,772160;0,944880;19050,1130300" o:connectangles="0,0,0,0,0,0,0,0,0,0,0,0,0,0,0,0,0,0,0,0,0,0,0,0,0,0,0,0,0,0,0,0,0,0,0,0,0,0,0,0,0,0,0,0,0,0,0,0,0,0,0,0"/>
                <v:fill on="f" focussize="0,0"/>
                <v:stroke weight="1pt" color="#FFFF00 [2404]" miterlimit="8" joinstyle="miter"/>
                <v:imagedata o:title=""/>
                <o:lock v:ext="edit" aspectratio="f"/>
              </v:shape>
            </w:pict>
          </mc:Fallback>
        </mc:AlternateContent>
      </w:r>
      <w:r>
        <w:rPr>
          <w:rFonts w:hint="eastAsia" w:ascii="仿宋" w:hAnsi="仿宋" w:eastAsia="仿宋" w:cs="仿宋"/>
          <w:b/>
          <w:sz w:val="28"/>
          <w:szCs w:val="28"/>
          <w:highlight w:val="none"/>
        </w:rPr>
        <mc:AlternateContent>
          <mc:Choice Requires="wps">
            <w:drawing>
              <wp:anchor distT="0" distB="0" distL="114300" distR="114300" simplePos="0" relativeHeight="251665408" behindDoc="0" locked="0" layoutInCell="1" allowOverlap="1">
                <wp:simplePos x="0" y="0"/>
                <wp:positionH relativeFrom="column">
                  <wp:posOffset>4599305</wp:posOffset>
                </wp:positionH>
                <wp:positionV relativeFrom="paragraph">
                  <wp:posOffset>1158240</wp:posOffset>
                </wp:positionV>
                <wp:extent cx="704215" cy="311150"/>
                <wp:effectExtent l="1014730" t="9525" r="18415" b="45085"/>
                <wp:wrapNone/>
                <wp:docPr id="127" name="圆角矩形标注 127"/>
                <wp:cNvGraphicFramePr/>
                <a:graphic xmlns:a="http://schemas.openxmlformats.org/drawingml/2006/main">
                  <a:graphicData uri="http://schemas.microsoft.com/office/word/2010/wordprocessingShape">
                    <wps:wsp>
                      <wps:cNvSpPr/>
                      <wps:spPr>
                        <a:xfrm>
                          <a:off x="0" y="0"/>
                          <a:ext cx="704215" cy="311150"/>
                        </a:xfrm>
                        <a:prstGeom prst="wedgeRoundRectCallout">
                          <a:avLst>
                            <a:gd name="adj1" fmla="val -183273"/>
                            <a:gd name="adj2" fmla="val 55102"/>
                            <a:gd name="adj3" fmla="val 16667"/>
                          </a:avLst>
                        </a:prstGeom>
                        <a:noFill/>
                        <a:ln w="19050" cap="flat" cmpd="sng">
                          <a:solidFill>
                            <a:srgbClr val="FF0000"/>
                          </a:solidFill>
                          <a:prstDash val="solid"/>
                          <a:miter/>
                          <a:headEnd type="none" w="med" len="med"/>
                          <a:tailEnd type="none" w="med" len="med"/>
                        </a:ln>
                      </wps:spPr>
                      <wps:txbx>
                        <w:txbxContent>
                          <w:p>
                            <w:pPr>
                              <w:rPr>
                                <w:rFonts w:hint="eastAsia"/>
                                <w:b/>
                                <w:color w:val="FF0000"/>
                                <w:sz w:val="18"/>
                                <w:szCs w:val="18"/>
                              </w:rPr>
                            </w:pPr>
                            <w:r>
                              <w:rPr>
                                <w:rFonts w:hint="eastAsia"/>
                                <w:b/>
                                <w:color w:val="FF0000"/>
                                <w:sz w:val="18"/>
                                <w:szCs w:val="18"/>
                              </w:rPr>
                              <w:t>重整装置</w:t>
                            </w:r>
                          </w:p>
                          <w:p>
                            <w:pPr>
                              <w:rPr>
                                <w:rFonts w:hint="eastAsia"/>
                              </w:rPr>
                            </w:pPr>
                          </w:p>
                        </w:txbxContent>
                      </wps:txbx>
                      <wps:bodyPr upright="1"/>
                    </wps:wsp>
                  </a:graphicData>
                </a:graphic>
              </wp:anchor>
            </w:drawing>
          </mc:Choice>
          <mc:Fallback>
            <w:pict>
              <v:shape id="_x0000_s1026" o:spid="_x0000_s1026" o:spt="62" type="#_x0000_t62" style="position:absolute;left:0pt;margin-left:362.15pt;margin-top:91.2pt;height:24.5pt;width:55.45pt;z-index:251665408;mso-width-relative:page;mso-height-relative:page;" filled="f" stroked="t" coordsize="21600,21600" o:gfxdata="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F32ue1gAAAAsBAAAPAAAA&#10;AAAAAAEAIAAAACIAAABkcnMvZG93bnJldi54bWxQSwECFAAUAAAACACHTuJAhBAVPVACAACYBAAA&#10;DgAAAAAAAAABACAAAAAlAQAAZHJzL2Uyb0RvYy54bWxQSwUGAAAAAAYABgBZAQAA5wUAAAAA&#10;" adj="-28787,22702,14400">
                <v:fill on="f" focussize="0,0"/>
                <v:stroke weight="1.5pt" color="#FF0000" joinstyle="miter"/>
                <v:imagedata o:title=""/>
                <o:lock v:ext="edit" aspectratio="f"/>
                <v:textbox>
                  <w:txbxContent>
                    <w:p>
                      <w:pPr>
                        <w:rPr>
                          <w:rFonts w:hint="eastAsia"/>
                          <w:b/>
                          <w:color w:val="FF0000"/>
                          <w:sz w:val="18"/>
                          <w:szCs w:val="18"/>
                        </w:rPr>
                      </w:pPr>
                      <w:r>
                        <w:rPr>
                          <w:rFonts w:hint="eastAsia"/>
                          <w:b/>
                          <w:color w:val="FF0000"/>
                          <w:sz w:val="18"/>
                          <w:szCs w:val="18"/>
                        </w:rPr>
                        <w:t>重整装置</w:t>
                      </w:r>
                    </w:p>
                    <w:p>
                      <w:pPr>
                        <w:rPr>
                          <w:rFonts w:hint="eastAsia"/>
                        </w:rPr>
                      </w:pPr>
                    </w:p>
                  </w:txbxContent>
                </v:textbox>
              </v:shape>
            </w:pict>
          </mc:Fallback>
        </mc:AlternateContent>
      </w:r>
      <w:r>
        <w:rPr>
          <w:rFonts w:hint="eastAsia" w:ascii="仿宋" w:hAnsi="仿宋" w:eastAsia="仿宋" w:cs="仿宋"/>
          <w:b/>
          <w:sz w:val="28"/>
          <w:szCs w:val="28"/>
          <w:highlight w:val="none"/>
        </w:rPr>
        <mc:AlternateContent>
          <mc:Choice Requires="wps">
            <w:drawing>
              <wp:anchor distT="0" distB="0" distL="114300" distR="114300" simplePos="0" relativeHeight="251664384" behindDoc="0" locked="0" layoutInCell="1" allowOverlap="1">
                <wp:simplePos x="0" y="0"/>
                <wp:positionH relativeFrom="column">
                  <wp:posOffset>4599305</wp:posOffset>
                </wp:positionH>
                <wp:positionV relativeFrom="paragraph">
                  <wp:posOffset>2626360</wp:posOffset>
                </wp:positionV>
                <wp:extent cx="866775" cy="311150"/>
                <wp:effectExtent l="1018540" t="9525" r="19685" b="29845"/>
                <wp:wrapNone/>
                <wp:docPr id="126" name="圆角矩形标注 126"/>
                <wp:cNvGraphicFramePr/>
                <a:graphic xmlns:a="http://schemas.openxmlformats.org/drawingml/2006/main">
                  <a:graphicData uri="http://schemas.microsoft.com/office/word/2010/wordprocessingShape">
                    <wps:wsp>
                      <wps:cNvSpPr/>
                      <wps:spPr>
                        <a:xfrm>
                          <a:off x="0" y="0"/>
                          <a:ext cx="866775" cy="311150"/>
                        </a:xfrm>
                        <a:prstGeom prst="wedgeRoundRectCallout">
                          <a:avLst>
                            <a:gd name="adj1" fmla="val -158717"/>
                            <a:gd name="adj2" fmla="val 53061"/>
                            <a:gd name="adj3" fmla="val 16667"/>
                          </a:avLst>
                        </a:prstGeom>
                        <a:noFill/>
                        <a:ln w="19050" cap="flat" cmpd="sng">
                          <a:solidFill>
                            <a:srgbClr val="FF0000"/>
                          </a:solidFill>
                          <a:prstDash val="solid"/>
                          <a:miter/>
                          <a:headEnd type="none" w="med" len="med"/>
                          <a:tailEnd type="none" w="med" len="med"/>
                        </a:ln>
                      </wps:spPr>
                      <wps:txbx>
                        <w:txbxContent>
                          <w:p>
                            <w:pPr>
                              <w:rPr>
                                <w:rFonts w:hint="eastAsia"/>
                                <w:b/>
                                <w:color w:val="FF0000"/>
                                <w:sz w:val="18"/>
                                <w:szCs w:val="18"/>
                              </w:rPr>
                            </w:pPr>
                            <w:r>
                              <w:rPr>
                                <w:rFonts w:hint="eastAsia"/>
                                <w:b/>
                                <w:color w:val="FF0000"/>
                                <w:sz w:val="18"/>
                                <w:szCs w:val="18"/>
                              </w:rPr>
                              <w:t>聚丙烯装置</w:t>
                            </w:r>
                          </w:p>
                        </w:txbxContent>
                      </wps:txbx>
                      <wps:bodyPr upright="1"/>
                    </wps:wsp>
                  </a:graphicData>
                </a:graphic>
              </wp:anchor>
            </w:drawing>
          </mc:Choice>
          <mc:Fallback>
            <w:pict>
              <v:shape id="_x0000_s1026" o:spid="_x0000_s1026" o:spt="62" type="#_x0000_t62" style="position:absolute;left:0pt;margin-left:362.15pt;margin-top:206.8pt;height:24.5pt;width:68.25pt;z-index:251664384;mso-width-relative:page;mso-height-relative:page;" filled="f" stroked="t" coordsize="21600,21600" o:gfxdata="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9HwH7cAAAACwEA&#10;AA8AAAAAAAAAAQAgAAAAIgAAAGRycy9kb3ducmV2LnhtbFBLAQIUABQAAAAIAIdO4kBpvcEoTwIA&#10;AJgEAAAOAAAAAAAAAAEAIAAAACsBAABkcnMvZTJvRG9jLnhtbFBLBQYAAAAABgAGAFkBAADsBQAA&#10;AAA=&#10;" adj="-23483,22261,14400">
                <v:fill on="f" focussize="0,0"/>
                <v:stroke weight="1.5pt" color="#FF0000" joinstyle="miter"/>
                <v:imagedata o:title=""/>
                <o:lock v:ext="edit" aspectratio="f"/>
                <v:textbox>
                  <w:txbxContent>
                    <w:p>
                      <w:pPr>
                        <w:rPr>
                          <w:rFonts w:hint="eastAsia"/>
                          <w:b/>
                          <w:color w:val="FF0000"/>
                          <w:sz w:val="18"/>
                          <w:szCs w:val="18"/>
                        </w:rPr>
                      </w:pPr>
                      <w:r>
                        <w:rPr>
                          <w:rFonts w:hint="eastAsia"/>
                          <w:b/>
                          <w:color w:val="FF0000"/>
                          <w:sz w:val="18"/>
                          <w:szCs w:val="18"/>
                        </w:rPr>
                        <w:t>聚丙烯装置</w:t>
                      </w:r>
                    </w:p>
                  </w:txbxContent>
                </v:textbox>
              </v:shape>
            </w:pict>
          </mc:Fallback>
        </mc:AlternateContent>
      </w:r>
      <w:r>
        <w:rPr>
          <w:rFonts w:hint="eastAsia" w:ascii="仿宋" w:hAnsi="仿宋" w:eastAsia="仿宋" w:cs="仿宋"/>
          <w:b/>
          <w:color w:val="000000"/>
          <w:sz w:val="24"/>
          <w:szCs w:val="28"/>
          <w:highlight w:val="none"/>
        </w:rPr>
        <w:drawing>
          <wp:anchor distT="0" distB="0" distL="114300" distR="114300" simplePos="0" relativeHeight="251662336" behindDoc="0" locked="0" layoutInCell="1" allowOverlap="1">
            <wp:simplePos x="0" y="0"/>
            <wp:positionH relativeFrom="column">
              <wp:posOffset>3269615</wp:posOffset>
            </wp:positionH>
            <wp:positionV relativeFrom="paragraph">
              <wp:posOffset>3083560</wp:posOffset>
            </wp:positionV>
            <wp:extent cx="137160" cy="118110"/>
            <wp:effectExtent l="0" t="0" r="0" b="3810"/>
            <wp:wrapNone/>
            <wp:docPr id="125" name="图片 2" descr="t01674b7619e756ed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 descr="t01674b7619e756eda9"/>
                    <pic:cNvPicPr>
                      <a:picLocks noChangeAspect="1"/>
                    </pic:cNvPicPr>
                  </pic:nvPicPr>
                  <pic:blipFill>
                    <a:blip r:embed="rId9"/>
                    <a:stretch>
                      <a:fillRect/>
                    </a:stretch>
                  </pic:blipFill>
                  <pic:spPr>
                    <a:xfrm>
                      <a:off x="0" y="0"/>
                      <a:ext cx="137160" cy="118110"/>
                    </a:xfrm>
                    <a:prstGeom prst="rect">
                      <a:avLst/>
                    </a:prstGeom>
                    <a:noFill/>
                    <a:ln>
                      <a:noFill/>
                    </a:ln>
                  </pic:spPr>
                </pic:pic>
              </a:graphicData>
            </a:graphic>
          </wp:anchor>
        </w:drawing>
      </w:r>
      <w:r>
        <w:rPr>
          <w:rFonts w:hint="eastAsia" w:ascii="仿宋" w:hAnsi="仿宋" w:eastAsia="仿宋" w:cs="仿宋"/>
          <w:b/>
          <w:color w:val="000000"/>
          <w:sz w:val="24"/>
          <w:szCs w:val="28"/>
          <w:highlight w:val="none"/>
        </w:rPr>
        <w:drawing>
          <wp:anchor distT="0" distB="0" distL="114300" distR="114300" simplePos="0" relativeHeight="251661312" behindDoc="0" locked="0" layoutInCell="1" allowOverlap="1">
            <wp:simplePos x="0" y="0"/>
            <wp:positionH relativeFrom="column">
              <wp:posOffset>3340735</wp:posOffset>
            </wp:positionH>
            <wp:positionV relativeFrom="paragraph">
              <wp:posOffset>1747520</wp:posOffset>
            </wp:positionV>
            <wp:extent cx="137160" cy="118110"/>
            <wp:effectExtent l="0" t="0" r="0" b="3810"/>
            <wp:wrapNone/>
            <wp:docPr id="124" name="图片 2" descr="t01674b7619e756ed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t01674b7619e756eda9"/>
                    <pic:cNvPicPr>
                      <a:picLocks noChangeAspect="1"/>
                    </pic:cNvPicPr>
                  </pic:nvPicPr>
                  <pic:blipFill>
                    <a:blip r:embed="rId9"/>
                    <a:stretch>
                      <a:fillRect/>
                    </a:stretch>
                  </pic:blipFill>
                  <pic:spPr>
                    <a:xfrm>
                      <a:off x="0" y="0"/>
                      <a:ext cx="137160" cy="118110"/>
                    </a:xfrm>
                    <a:prstGeom prst="rect">
                      <a:avLst/>
                    </a:prstGeom>
                    <a:noFill/>
                    <a:ln>
                      <a:noFill/>
                    </a:ln>
                  </pic:spPr>
                </pic:pic>
              </a:graphicData>
            </a:graphic>
          </wp:anchor>
        </w:drawing>
      </w:r>
      <w:r>
        <w:rPr>
          <w:rFonts w:hint="eastAsia" w:ascii="仿宋" w:hAnsi="仿宋" w:eastAsia="仿宋" w:cs="仿宋"/>
          <w:sz w:val="21"/>
          <w:highlight w:val="none"/>
        </w:rPr>
        <mc:AlternateContent>
          <mc:Choice Requires="wps">
            <w:drawing>
              <wp:anchor distT="0" distB="0" distL="114300" distR="114300" simplePos="0" relativeHeight="251660288" behindDoc="0" locked="0" layoutInCell="1" allowOverlap="1">
                <wp:simplePos x="0" y="0"/>
                <wp:positionH relativeFrom="column">
                  <wp:posOffset>3340735</wp:posOffset>
                </wp:positionH>
                <wp:positionV relativeFrom="paragraph">
                  <wp:posOffset>1489710</wp:posOffset>
                </wp:positionV>
                <wp:extent cx="295910" cy="381000"/>
                <wp:effectExtent l="9525" t="9525" r="14605" b="20955"/>
                <wp:wrapNone/>
                <wp:docPr id="119" name="矩形 119"/>
                <wp:cNvGraphicFramePr/>
                <a:graphic xmlns:a="http://schemas.openxmlformats.org/drawingml/2006/main">
                  <a:graphicData uri="http://schemas.microsoft.com/office/word/2010/wordprocessingShape">
                    <wps:wsp>
                      <wps:cNvSpPr/>
                      <wps:spPr>
                        <a:xfrm>
                          <a:off x="0" y="0"/>
                          <a:ext cx="295910" cy="3810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05pt;margin-top:117.3pt;height:30pt;width:23.3pt;z-index:251660288;v-text-anchor:middle;mso-width-relative:page;mso-height-relative:page;" filled="f" stroked="t" coordsize="21600,21600" o:gfxdata="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6RvgydkAAAALAQAADwAAAAAAAAABACAAAAAiAAAAZHJzL2Rvd25yZXYueG1s&#10;UEsBAhQAFAAAAAgAh07iQGJAvWlpAgAAzgQAAA4AAAAAAAAAAQAgAAAAKAEAAGRycy9lMm9Eb2Mu&#10;eG1sUEsFBgAAAAAGAAYAWQEAAAMGAAAAAA==&#10;">
                <v:fill on="f" focussize="0,0"/>
                <v:stroke weight="1.5pt" color="#FF0000 [2404]" miterlimit="8" joinstyle="miter"/>
                <v:imagedata o:title=""/>
                <o:lock v:ext="edit" aspectratio="f"/>
              </v:rect>
            </w:pict>
          </mc:Fallback>
        </mc:AlternateContent>
      </w:r>
      <w:r>
        <w:rPr>
          <w:rFonts w:hint="eastAsia" w:ascii="仿宋" w:hAnsi="仿宋" w:eastAsia="仿宋" w:cs="仿宋"/>
          <w:sz w:val="21"/>
          <w:highlight w:val="none"/>
        </w:rPr>
        <mc:AlternateContent>
          <mc:Choice Requires="wps">
            <w:drawing>
              <wp:anchor distT="0" distB="0" distL="114300" distR="114300" simplePos="0" relativeHeight="251659264" behindDoc="0" locked="0" layoutInCell="1" allowOverlap="1">
                <wp:simplePos x="0" y="0"/>
                <wp:positionH relativeFrom="column">
                  <wp:posOffset>3260090</wp:posOffset>
                </wp:positionH>
                <wp:positionV relativeFrom="paragraph">
                  <wp:posOffset>2952750</wp:posOffset>
                </wp:positionV>
                <wp:extent cx="401320" cy="254000"/>
                <wp:effectExtent l="9525" t="9525" r="15875" b="10795"/>
                <wp:wrapNone/>
                <wp:docPr id="118" name="矩形 118"/>
                <wp:cNvGraphicFramePr/>
                <a:graphic xmlns:a="http://schemas.openxmlformats.org/drawingml/2006/main">
                  <a:graphicData uri="http://schemas.microsoft.com/office/word/2010/wordprocessingShape">
                    <wps:wsp>
                      <wps:cNvSpPr/>
                      <wps:spPr>
                        <a:xfrm>
                          <a:off x="4174490" y="4095750"/>
                          <a:ext cx="401320" cy="2540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7pt;margin-top:232.5pt;height:20pt;width:31.6pt;z-index:251659264;v-text-anchor:middle;mso-width-relative:page;mso-height-relative:page;" filled="f" stroked="t" coordsize="21600,21600" o:gfxdata="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sJz5x2QAAAAsBAAAPAAAAAAAAAAEAIAAAACIAAABkcnMv&#10;ZG93bnJldi54bWxQSwECFAAUAAAACACHTuJA3nTkUnQCAADaBAAADgAAAAAAAAABACAAAAAoAQAA&#10;ZHJzL2Uyb0RvYy54bWxQSwUGAAAAAAYABgBZAQAADgYAAAAA&#10;">
                <v:fill on="f" focussize="0,0"/>
                <v:stroke weight="1.5pt" color="#FF0000 [2404]" miterlimit="8" joinstyle="miter"/>
                <v:imagedata o:title=""/>
                <o:lock v:ext="edit" aspectratio="f"/>
              </v:rect>
            </w:pict>
          </mc:Fallback>
        </mc:AlternateContent>
      </w:r>
      <w:r>
        <w:rPr>
          <w:rFonts w:hint="eastAsia" w:ascii="仿宋" w:hAnsi="仿宋" w:eastAsia="仿宋" w:cs="仿宋"/>
          <w:b/>
          <w:bCs/>
          <w:snapToGrid w:val="0"/>
          <w:color w:val="auto"/>
          <w:kern w:val="0"/>
          <w:sz w:val="21"/>
          <w:szCs w:val="21"/>
          <w:highlight w:val="none"/>
          <w:lang w:val="en-US" w:eastAsia="zh-CN"/>
        </w:rPr>
        <w:drawing>
          <wp:inline distT="0" distB="0" distL="114300" distR="114300">
            <wp:extent cx="8862060" cy="4438015"/>
            <wp:effectExtent l="0" t="0" r="7620" b="12065"/>
            <wp:docPr id="117" name="图片 117" descr="b4b495dd5f3949a322d05b34d60a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b4b495dd5f3949a322d05b34d60ac00"/>
                    <pic:cNvPicPr>
                      <a:picLocks noChangeAspect="1"/>
                    </pic:cNvPicPr>
                  </pic:nvPicPr>
                  <pic:blipFill>
                    <a:blip r:embed="rId10"/>
                    <a:stretch>
                      <a:fillRect/>
                    </a:stretch>
                  </pic:blipFill>
                  <pic:spPr>
                    <a:xfrm>
                      <a:off x="0" y="0"/>
                      <a:ext cx="8862060" cy="4438015"/>
                    </a:xfrm>
                    <a:prstGeom prst="rect">
                      <a:avLst/>
                    </a:prstGeom>
                  </pic:spPr>
                </pic:pic>
              </a:graphicData>
            </a:graphic>
          </wp:inline>
        </w:drawing>
      </w:r>
    </w:p>
    <w:p>
      <w:pPr>
        <w:pageBreakBefore w:val="0"/>
        <w:kinsoku/>
        <w:wordWrap/>
        <w:overflowPunct/>
        <w:topLinePunct w:val="0"/>
        <w:autoSpaceDE w:val="0"/>
        <w:autoSpaceDN w:val="0"/>
        <w:bidi w:val="0"/>
        <w:adjustRightInd w:val="0"/>
        <w:spacing w:line="360" w:lineRule="auto"/>
        <w:ind w:firstLine="560" w:firstLineChars="200"/>
        <w:jc w:val="center"/>
        <w:rPr>
          <w:rFonts w:hint="eastAsia" w:ascii="仿宋" w:hAnsi="仿宋" w:eastAsia="仿宋" w:cs="仿宋"/>
          <w:snapToGrid w:val="0"/>
          <w:color w:val="auto"/>
          <w:kern w:val="0"/>
          <w:sz w:val="28"/>
          <w:szCs w:val="28"/>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仿宋" w:hAnsi="仿宋" w:eastAsia="仿宋" w:cs="仿宋"/>
          <w:snapToGrid w:val="0"/>
          <w:color w:val="auto"/>
          <w:kern w:val="0"/>
          <w:sz w:val="28"/>
          <w:szCs w:val="28"/>
          <w:highlight w:val="none"/>
          <w:lang w:val="en-US" w:eastAsia="zh-CN"/>
        </w:rPr>
        <w:t>图3-3 厂区平面布置图（放射源）</w:t>
      </w:r>
    </w:p>
    <w:p>
      <w:pPr>
        <w:pStyle w:val="5"/>
        <w:bidi w:val="0"/>
        <w:rPr>
          <w:rFonts w:hint="eastAsia" w:ascii="仿宋" w:hAnsi="仿宋" w:eastAsia="仿宋" w:cs="仿宋"/>
          <w:highlight w:val="none"/>
        </w:rPr>
      </w:pPr>
      <w:bookmarkStart w:id="13" w:name="_Toc15639"/>
      <w:bookmarkStart w:id="14" w:name="_Toc271"/>
      <w:r>
        <w:rPr>
          <w:rFonts w:hint="eastAsia" w:ascii="仿宋" w:hAnsi="仿宋" w:eastAsia="仿宋" w:cs="仿宋"/>
          <w:highlight w:val="none"/>
        </w:rPr>
        <w:t>3.2放射源情况</w:t>
      </w:r>
      <w:bookmarkEnd w:id="13"/>
      <w:bookmarkEnd w:id="14"/>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分别在15万吨聚丙烯装置和60万吨重整装置上安装含铯137放射源料位计20台，密度计2台，其中6枚为Ⅳ类放射源，16枚为Ⅴ类放射源。放射源铯137是由美国OHMART和美国Thermofisher提供。</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分别在15万吨聚丙烯装置和60万吨重整装置上安装含铯137放射源料位计20台，密度计2台，其中6枚为Ⅳ类放射源，16枚为Ⅴ类放射源。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15万吨聚丙烯装置安装11台料位计和2台密度计，生产厂家为美国OHHMART；60万吨重整装置安装9台料位计,生产厂家为美国 Thermofisher。</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中国石油天然气股份有限公司呼和浩特石化分公司分别放射源具体情况见表3-1、表3-2。</w:t>
      </w:r>
    </w:p>
    <w:p>
      <w:pPr>
        <w:pageBreakBefore w:val="0"/>
        <w:kinsoku/>
        <w:wordWrap/>
        <w:overflowPunct/>
        <w:topLinePunct w:val="0"/>
        <w:autoSpaceDE w:val="0"/>
        <w:autoSpaceDN w:val="0"/>
        <w:bidi w:val="0"/>
        <w:adjustRightInd w:val="0"/>
        <w:spacing w:line="360" w:lineRule="auto"/>
        <w:jc w:val="left"/>
        <w:rPr>
          <w:rFonts w:hint="eastAsia" w:ascii="仿宋" w:hAnsi="仿宋" w:eastAsia="仿宋" w:cs="仿宋"/>
          <w:b/>
          <w:bCs/>
          <w:snapToGrid w:val="0"/>
          <w:color w:val="auto"/>
          <w:kern w:val="0"/>
          <w:sz w:val="28"/>
          <w:szCs w:val="28"/>
          <w:highlight w:val="none"/>
          <w:lang w:val="en-US" w:eastAsia="zh-CN"/>
        </w:rPr>
      </w:pPr>
      <w:r>
        <w:rPr>
          <w:rFonts w:hint="eastAsia" w:ascii="仿宋" w:hAnsi="仿宋" w:eastAsia="仿宋" w:cs="仿宋"/>
          <w:b/>
          <w:bCs/>
          <w:snapToGrid w:val="0"/>
          <w:color w:val="auto"/>
          <w:kern w:val="0"/>
          <w:sz w:val="28"/>
          <w:szCs w:val="28"/>
          <w:highlight w:val="none"/>
          <w:lang w:val="en-US" w:eastAsia="zh-CN"/>
        </w:rPr>
        <w:t>放射源的应用原理：</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同位素铯137放射源发出的γ射线穿过被测量容器壁和被测量介质时，γ射线被吸收或散射而产生衰减，通过检测器检测剩余γ射线的量，并将其转化为电量的变化，然后通过电子电路放大及计算处理，获得被测量介质的物位。</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容器内料位越高,位于另一侧的闪烁计数器接收到的射线强度越低。γ射线在NaI(TI)晶体内产生光闪烁,光电倍增管PMT将其转化为电脉冲。探测器内的前置放大器输出标准电脉冲。高压发生器装在探测器的外壳内。连接电缆传输低压电源和脉冲信号至远处的放大器。放大器计算电脉冲信号。物质的密度对射线有阻挡作用，物料在容器内的高度不同，对射线阻挡的能力不同，通过胶乳的γ粒子多少不同，从而判断出物料的实际位置。探测器发出的是脉冲信号，经过微处理器的运算，将其转换成标准的电流、电压信号输出。控制各装置内物料情况。</w:t>
      </w:r>
    </w:p>
    <w:p>
      <w:pPr>
        <w:pageBreakBefore w:val="0"/>
        <w:kinsoku/>
        <w:wordWrap/>
        <w:overflowPunct/>
        <w:topLinePunct w:val="0"/>
        <w:autoSpaceDE w:val="0"/>
        <w:autoSpaceDN w:val="0"/>
        <w:bidi w:val="0"/>
        <w:adjustRightInd w:val="0"/>
        <w:spacing w:line="360" w:lineRule="auto"/>
        <w:jc w:val="left"/>
        <w:rPr>
          <w:rFonts w:hint="eastAsia" w:ascii="仿宋" w:hAnsi="仿宋" w:eastAsia="仿宋" w:cs="仿宋"/>
          <w:b/>
          <w:bCs/>
          <w:snapToGrid w:val="0"/>
          <w:color w:val="auto"/>
          <w:kern w:val="0"/>
          <w:sz w:val="28"/>
          <w:szCs w:val="28"/>
          <w:highlight w:val="none"/>
          <w:lang w:val="en-US" w:eastAsia="zh-CN"/>
        </w:rPr>
      </w:pPr>
      <w:r>
        <w:rPr>
          <w:rFonts w:hint="eastAsia" w:ascii="仿宋" w:hAnsi="仿宋" w:eastAsia="仿宋" w:cs="仿宋"/>
          <w:b/>
          <w:bCs/>
          <w:snapToGrid w:val="0"/>
          <w:color w:val="auto"/>
          <w:kern w:val="0"/>
          <w:sz w:val="28"/>
          <w:szCs w:val="28"/>
          <w:highlight w:val="none"/>
          <w:lang w:val="en-US" w:eastAsia="zh-CN"/>
        </w:rPr>
        <w:t>核技术应用项目污染因子分析：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使用放射源类型为Ⅳ类放射源和Ⅴ类放射源；铯137是一种常用的伽马辐射源，铯137的半衰期较长，达30年。当料位仪进入工作状态前，γ射线通过窗口射出，对工作场所及周围环境主要是γ射线的辐射影响。</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p>
    <w:p>
      <w:pPr>
        <w:pStyle w:val="2"/>
        <w:rPr>
          <w:rFonts w:hint="eastAsia" w:ascii="仿宋" w:hAnsi="仿宋" w:eastAsia="仿宋" w:cs="仿宋"/>
          <w:snapToGrid w:val="0"/>
          <w:color w:val="auto"/>
          <w:kern w:val="0"/>
          <w:sz w:val="28"/>
          <w:szCs w:val="28"/>
          <w:highlight w:val="none"/>
          <w:lang w:val="en-US" w:eastAsia="zh-CN"/>
        </w:rPr>
      </w:pPr>
    </w:p>
    <w:p>
      <w:pPr>
        <w:rPr>
          <w:rFonts w:hint="eastAsia" w:ascii="仿宋" w:hAnsi="仿宋" w:eastAsia="仿宋" w:cs="仿宋"/>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ind w:left="4" w:leftChars="2" w:firstLine="556"/>
        <w:jc w:val="center"/>
        <w:rPr>
          <w:rFonts w:hint="eastAsia" w:ascii="仿宋" w:hAnsi="仿宋" w:eastAsia="仿宋" w:cs="仿宋"/>
          <w:b/>
          <w:sz w:val="28"/>
          <w:szCs w:val="28"/>
          <w:highlight w:val="none"/>
        </w:rPr>
      </w:pPr>
      <w:r>
        <w:rPr>
          <w:rFonts w:hint="eastAsia" w:ascii="仿宋" w:hAnsi="仿宋" w:eastAsia="仿宋" w:cs="仿宋"/>
          <w:b/>
          <w:sz w:val="28"/>
          <w:szCs w:val="28"/>
          <w:highlight w:val="none"/>
        </w:rPr>
        <w:t>表3-1   15万吨聚丙烯装置放射源安装具体情况表</w:t>
      </w:r>
    </w:p>
    <w:tbl>
      <w:tblPr>
        <w:tblStyle w:val="16"/>
        <w:tblW w:w="14055" w:type="dxa"/>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169"/>
        <w:gridCol w:w="1873"/>
        <w:gridCol w:w="584"/>
        <w:gridCol w:w="1404"/>
        <w:gridCol w:w="1170"/>
        <w:gridCol w:w="1170"/>
        <w:gridCol w:w="1638"/>
        <w:gridCol w:w="1638"/>
        <w:gridCol w:w="25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b/>
                <w:sz w:val="24"/>
                <w:highlight w:val="none"/>
              </w:rPr>
            </w:pPr>
            <w:r>
              <w:rPr>
                <w:rFonts w:hint="eastAsia" w:ascii="仿宋" w:hAnsi="仿宋" w:eastAsia="仿宋" w:cs="仿宋"/>
                <w:b/>
                <w:sz w:val="24"/>
                <w:highlight w:val="none"/>
              </w:rPr>
              <w:t>序号</w:t>
            </w:r>
          </w:p>
        </w:tc>
        <w:tc>
          <w:tcPr>
            <w:tcW w:w="1169"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核素</w:t>
            </w:r>
          </w:p>
          <w:p>
            <w:pPr>
              <w:jc w:val="center"/>
              <w:rPr>
                <w:rFonts w:hint="eastAsia" w:ascii="仿宋" w:hAnsi="仿宋" w:eastAsia="仿宋" w:cs="仿宋"/>
                <w:b/>
                <w:sz w:val="24"/>
                <w:highlight w:val="none"/>
              </w:rPr>
            </w:pPr>
            <w:r>
              <w:rPr>
                <w:rFonts w:hint="eastAsia" w:ascii="仿宋" w:hAnsi="仿宋" w:eastAsia="仿宋" w:cs="仿宋"/>
                <w:b/>
                <w:sz w:val="24"/>
                <w:highlight w:val="none"/>
              </w:rPr>
              <w:t>名称</w:t>
            </w:r>
          </w:p>
        </w:tc>
        <w:tc>
          <w:tcPr>
            <w:tcW w:w="1873"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国家编码</w:t>
            </w:r>
          </w:p>
        </w:tc>
        <w:tc>
          <w:tcPr>
            <w:tcW w:w="584"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类别</w:t>
            </w:r>
          </w:p>
        </w:tc>
        <w:tc>
          <w:tcPr>
            <w:tcW w:w="1404"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活度Bq</w:t>
            </w:r>
          </w:p>
        </w:tc>
        <w:tc>
          <w:tcPr>
            <w:tcW w:w="1170"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活度mCi</w:t>
            </w:r>
          </w:p>
        </w:tc>
        <w:tc>
          <w:tcPr>
            <w:tcW w:w="1170"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用途</w:t>
            </w:r>
          </w:p>
        </w:tc>
        <w:tc>
          <w:tcPr>
            <w:tcW w:w="1638"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出厂时间</w:t>
            </w:r>
          </w:p>
        </w:tc>
        <w:tc>
          <w:tcPr>
            <w:tcW w:w="1638"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出产厂家</w:t>
            </w:r>
          </w:p>
        </w:tc>
        <w:tc>
          <w:tcPr>
            <w:tcW w:w="2590"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安装位置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US11CS009745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7.40E+7</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2011.2.23</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D301聚合物分离器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US11CS009755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7.40E+7</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2011.2.23</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D301聚合物分离器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US11CS009814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1.11E+9</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2011.5.26</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D301聚合物分离器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4</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US11CS009785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3.70E+8</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2011.6.23</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F301低压除气器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5</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US11CS009765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7.40E+7</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2011.2.23</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F301低压除气器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6</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US11CS009795</w:t>
            </w:r>
          </w:p>
        </w:tc>
        <w:tc>
          <w:tcPr>
            <w:tcW w:w="58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7.40E+8</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密度计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2011.9.30</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R201一环反应器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US11CS009805</w:t>
            </w:r>
          </w:p>
        </w:tc>
        <w:tc>
          <w:tcPr>
            <w:tcW w:w="58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7.40E+8</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密度计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2011.9.30</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R202二环反应器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8</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US11CS009824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1.85E+9</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50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D501蒸发器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9</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US11CS009854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3.70E+10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1000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D601高压吹出罐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US11CS009864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3.70E+10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1000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D601高压吹出罐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11</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US11CS009834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3.70E+9</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D602低压吹出罐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12</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US11CS009844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3.70E+9</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D602低压吹出罐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13</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US11CS009775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1.85E+8</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5</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2011.9.30</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D603三级吹出罐</w:t>
            </w:r>
          </w:p>
        </w:tc>
      </w:tr>
    </w:tbl>
    <w:p>
      <w:pPr>
        <w:ind w:left="4" w:leftChars="2" w:firstLine="556"/>
        <w:jc w:val="center"/>
        <w:rPr>
          <w:rFonts w:hint="eastAsia" w:ascii="仿宋" w:hAnsi="仿宋" w:eastAsia="仿宋" w:cs="仿宋"/>
          <w:b/>
          <w:sz w:val="28"/>
          <w:szCs w:val="28"/>
          <w:highlight w:val="none"/>
        </w:rPr>
      </w:pPr>
    </w:p>
    <w:p>
      <w:pPr>
        <w:ind w:left="4" w:leftChars="2" w:firstLine="556"/>
        <w:jc w:val="center"/>
        <w:rPr>
          <w:rFonts w:hint="eastAsia" w:ascii="仿宋" w:hAnsi="仿宋" w:eastAsia="仿宋" w:cs="仿宋"/>
          <w:b/>
          <w:sz w:val="28"/>
          <w:szCs w:val="28"/>
          <w:highlight w:val="none"/>
        </w:rPr>
      </w:pPr>
      <w:r>
        <w:rPr>
          <w:rFonts w:hint="eastAsia" w:ascii="仿宋" w:hAnsi="仿宋" w:eastAsia="仿宋" w:cs="仿宋"/>
          <w:b/>
          <w:sz w:val="28"/>
          <w:szCs w:val="28"/>
          <w:highlight w:val="none"/>
        </w:rPr>
        <w:t>表3-2   60万吨重整装置放射源安装具体情况表</w:t>
      </w:r>
    </w:p>
    <w:tbl>
      <w:tblPr>
        <w:tblStyle w:val="16"/>
        <w:tblW w:w="13956" w:type="dxa"/>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160"/>
        <w:gridCol w:w="1861"/>
        <w:gridCol w:w="579"/>
        <w:gridCol w:w="1394"/>
        <w:gridCol w:w="991"/>
        <w:gridCol w:w="1052"/>
        <w:gridCol w:w="1523"/>
        <w:gridCol w:w="1888"/>
        <w:gridCol w:w="26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813" w:type="dxa"/>
            <w:noWrap w:val="0"/>
            <w:vAlign w:val="center"/>
          </w:tcPr>
          <w:p>
            <w:pPr>
              <w:spacing w:line="360" w:lineRule="auto"/>
              <w:jc w:val="center"/>
              <w:rPr>
                <w:rFonts w:hint="eastAsia" w:ascii="仿宋" w:hAnsi="仿宋" w:eastAsia="仿宋" w:cs="仿宋"/>
                <w:b/>
                <w:sz w:val="24"/>
                <w:highlight w:val="none"/>
              </w:rPr>
            </w:pPr>
            <w:r>
              <w:rPr>
                <w:rFonts w:hint="eastAsia" w:ascii="仿宋" w:hAnsi="仿宋" w:eastAsia="仿宋" w:cs="仿宋"/>
                <w:b/>
                <w:sz w:val="24"/>
                <w:highlight w:val="none"/>
              </w:rPr>
              <w:t>序号</w:t>
            </w:r>
          </w:p>
        </w:tc>
        <w:tc>
          <w:tcPr>
            <w:tcW w:w="1160"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核素</w:t>
            </w:r>
          </w:p>
          <w:p>
            <w:pPr>
              <w:jc w:val="center"/>
              <w:rPr>
                <w:rFonts w:hint="eastAsia" w:ascii="仿宋" w:hAnsi="仿宋" w:eastAsia="仿宋" w:cs="仿宋"/>
                <w:b/>
                <w:sz w:val="24"/>
                <w:highlight w:val="none"/>
              </w:rPr>
            </w:pPr>
            <w:r>
              <w:rPr>
                <w:rFonts w:hint="eastAsia" w:ascii="仿宋" w:hAnsi="仿宋" w:eastAsia="仿宋" w:cs="仿宋"/>
                <w:b/>
                <w:sz w:val="24"/>
                <w:highlight w:val="none"/>
              </w:rPr>
              <w:t>名称</w:t>
            </w:r>
          </w:p>
        </w:tc>
        <w:tc>
          <w:tcPr>
            <w:tcW w:w="1861"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国家编码</w:t>
            </w:r>
          </w:p>
        </w:tc>
        <w:tc>
          <w:tcPr>
            <w:tcW w:w="579"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类别</w:t>
            </w:r>
          </w:p>
        </w:tc>
        <w:tc>
          <w:tcPr>
            <w:tcW w:w="1394"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活度Bq</w:t>
            </w:r>
          </w:p>
        </w:tc>
        <w:tc>
          <w:tcPr>
            <w:tcW w:w="991"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活度mCi</w:t>
            </w:r>
          </w:p>
        </w:tc>
        <w:tc>
          <w:tcPr>
            <w:tcW w:w="1052"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用途</w:t>
            </w:r>
          </w:p>
        </w:tc>
        <w:tc>
          <w:tcPr>
            <w:tcW w:w="1523"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出厂时间</w:t>
            </w:r>
          </w:p>
        </w:tc>
        <w:tc>
          <w:tcPr>
            <w:tcW w:w="1888"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出产厂家</w:t>
            </w:r>
          </w:p>
        </w:tc>
        <w:tc>
          <w:tcPr>
            <w:tcW w:w="2695"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安装位置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US12CS002995</w:t>
            </w:r>
          </w:p>
        </w:tc>
        <w:tc>
          <w:tcPr>
            <w:tcW w:w="57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39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美国Thermofisher</w:t>
            </w:r>
          </w:p>
        </w:tc>
        <w:tc>
          <w:tcPr>
            <w:tcW w:w="2695"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重整反应器R201还原段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US12CS003005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sz w:val="24"/>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重整反应器R201还原段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US12CS003015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分离料斗V303分离区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4</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US12CS003025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分离料斗V303分离区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5</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US12CS003035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分离料斗V303分离区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6</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US12CS003045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分离料斗V303吸附段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US12CS003055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闭锁料斗V308缓冲段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8</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US12CS003065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闭锁料斗V308缓冲段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5"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9</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US12CS003075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闭锁料斗V308闭锁段</w:t>
            </w:r>
          </w:p>
        </w:tc>
      </w:tr>
    </w:tbl>
    <w:p>
      <w:pPr>
        <w:spacing w:line="360" w:lineRule="auto"/>
        <w:ind w:left="4" w:hanging="4"/>
        <w:rPr>
          <w:rFonts w:hint="eastAsia" w:ascii="仿宋" w:hAnsi="仿宋" w:eastAsia="仿宋" w:cs="仿宋"/>
          <w:b/>
          <w:sz w:val="24"/>
          <w:highlight w:val="none"/>
        </w:rPr>
      </w:pPr>
    </w:p>
    <w:p>
      <w:pPr>
        <w:pageBreakBefore w:val="0"/>
        <w:kinsoku/>
        <w:wordWrap/>
        <w:overflowPunct/>
        <w:topLinePunct w:val="0"/>
        <w:autoSpaceDE w:val="0"/>
        <w:autoSpaceDN w:val="0"/>
        <w:bidi w:val="0"/>
        <w:adjustRightInd w:val="0"/>
        <w:spacing w:line="360" w:lineRule="auto"/>
        <w:jc w:val="left"/>
        <w:rPr>
          <w:rFonts w:hint="eastAsia" w:ascii="仿宋" w:hAnsi="仿宋" w:eastAsia="仿宋" w:cs="仿宋"/>
          <w:snapToGrid w:val="0"/>
          <w:color w:val="auto"/>
          <w:kern w:val="0"/>
          <w:sz w:val="24"/>
          <w:szCs w:val="21"/>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 w:hAnsi="仿宋" w:eastAsia="仿宋" w:cs="仿宋"/>
          <w:b/>
          <w:color w:val="FF0000"/>
          <w:sz w:val="28"/>
          <w:szCs w:val="28"/>
          <w:highlight w:val="none"/>
        </w:rPr>
      </w:pPr>
      <w:r>
        <w:rPr>
          <w:rFonts w:hint="eastAsia" w:ascii="仿宋" w:hAnsi="仿宋" w:eastAsia="仿宋" w:cs="仿宋"/>
          <w:b/>
          <w:color w:val="000000"/>
          <w:sz w:val="28"/>
          <w:szCs w:val="28"/>
          <w:highlight w:val="none"/>
        </w:rPr>
        <w:t>15万吨聚丙烯装置放射源</w:t>
      </w:r>
    </w:p>
    <w:p>
      <w:pPr>
        <w:jc w:val="center"/>
        <w:rPr>
          <w:rFonts w:hint="eastAsia" w:ascii="仿宋" w:hAnsi="仿宋" w:eastAsia="仿宋" w:cs="仿宋"/>
          <w:b/>
          <w:color w:val="FF0000"/>
          <w:sz w:val="28"/>
          <w:szCs w:val="28"/>
          <w:highlight w:val="none"/>
        </w:rPr>
      </w:pP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7" name="图片 5" descr="（D301-745"/>
            <wp:cNvGraphicFramePr/>
            <a:graphic xmlns:a="http://schemas.openxmlformats.org/drawingml/2006/main">
              <a:graphicData uri="http://schemas.openxmlformats.org/drawingml/2006/picture">
                <pic:pic xmlns:pic="http://schemas.openxmlformats.org/drawingml/2006/picture">
                  <pic:nvPicPr>
                    <pic:cNvPr id="67" name="图片 5" descr="（D301-745"/>
                    <pic:cNvPicPr preferRelativeResize="0"/>
                  </pic:nvPicPr>
                  <pic:blipFill>
                    <a:blip r:embed="rId11"/>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FF0000"/>
          <w:sz w:val="28"/>
          <w:szCs w:val="28"/>
          <w:highlight w:val="none"/>
        </w:rPr>
        <w:t xml:space="preserve">  </w:t>
      </w: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6" name="图片 6" descr="（D301-9814）20170118_105516"/>
            <wp:cNvGraphicFramePr/>
            <a:graphic xmlns:a="http://schemas.openxmlformats.org/drawingml/2006/main">
              <a:graphicData uri="http://schemas.openxmlformats.org/drawingml/2006/picture">
                <pic:pic xmlns:pic="http://schemas.openxmlformats.org/drawingml/2006/picture">
                  <pic:nvPicPr>
                    <pic:cNvPr id="66" name="图片 6" descr="（D301-9814）20170118_105516"/>
                    <pic:cNvPicPr preferRelativeResize="0"/>
                  </pic:nvPicPr>
                  <pic:blipFill>
                    <a:blip r:embed="rId12"/>
                    <a:srcRect l="5077" t="5093"/>
                    <a:stretch>
                      <a:fillRect/>
                    </a:stretch>
                  </pic:blipFill>
                  <pic:spPr>
                    <a:xfrm>
                      <a:off x="0" y="0"/>
                      <a:ext cx="2513330" cy="19132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exact"/>
        <w:ind w:firstLine="241" w:firstLineChars="100"/>
        <w:jc w:val="center"/>
        <w:textAlignment w:val="auto"/>
        <w:rPr>
          <w:rFonts w:hint="eastAsia" w:ascii="仿宋" w:hAnsi="仿宋" w:eastAsia="仿宋" w:cs="仿宋"/>
          <w:b/>
          <w:color w:val="FF0000"/>
          <w:sz w:val="28"/>
          <w:szCs w:val="28"/>
          <w:highlight w:val="none"/>
        </w:rPr>
      </w:pPr>
      <w:r>
        <w:rPr>
          <w:rFonts w:hint="eastAsia" w:ascii="仿宋" w:hAnsi="仿宋" w:eastAsia="仿宋" w:cs="仿宋"/>
          <w:b/>
          <w:sz w:val="24"/>
          <w:highlight w:val="none"/>
        </w:rPr>
        <w:t>US11CS009745/ US11CS009755                   US11CS009814</w:t>
      </w:r>
    </w:p>
    <w:p>
      <w:pPr>
        <w:jc w:val="center"/>
        <w:rPr>
          <w:rFonts w:hint="eastAsia" w:ascii="仿宋" w:hAnsi="仿宋" w:eastAsia="仿宋" w:cs="仿宋"/>
          <w:b/>
          <w:color w:val="FF0000"/>
          <w:sz w:val="28"/>
          <w:szCs w:val="28"/>
          <w:highlight w:val="none"/>
        </w:rPr>
      </w:pP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5" name="图片 7" descr="（F301-9785）20170118_110128"/>
            <wp:cNvGraphicFramePr/>
            <a:graphic xmlns:a="http://schemas.openxmlformats.org/drawingml/2006/main">
              <a:graphicData uri="http://schemas.openxmlformats.org/drawingml/2006/picture">
                <pic:pic xmlns:pic="http://schemas.openxmlformats.org/drawingml/2006/picture">
                  <pic:nvPicPr>
                    <pic:cNvPr id="65" name="图片 7" descr="（F301-9785）20170118_110128"/>
                    <pic:cNvPicPr preferRelativeResize="0"/>
                  </pic:nvPicPr>
                  <pic:blipFill>
                    <a:blip r:embed="rId13"/>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FF0000"/>
          <w:sz w:val="28"/>
          <w:szCs w:val="28"/>
          <w:highlight w:val="none"/>
        </w:rPr>
        <w:t xml:space="preserve">  </w:t>
      </w: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2" name="图片 8" descr="（F301-9765）20170118_112150"/>
            <wp:cNvGraphicFramePr/>
            <a:graphic xmlns:a="http://schemas.openxmlformats.org/drawingml/2006/main">
              <a:graphicData uri="http://schemas.openxmlformats.org/drawingml/2006/picture">
                <pic:pic xmlns:pic="http://schemas.openxmlformats.org/drawingml/2006/picture">
                  <pic:nvPicPr>
                    <pic:cNvPr id="62" name="图片 8" descr="（F301-9765）20170118_112150"/>
                    <pic:cNvPicPr preferRelativeResize="0"/>
                  </pic:nvPicPr>
                  <pic:blipFill>
                    <a:blip r:embed="rId14"/>
                    <a:stretch>
                      <a:fillRect/>
                    </a:stretch>
                  </pic:blipFill>
                  <pic:spPr>
                    <a:xfrm>
                      <a:off x="0" y="0"/>
                      <a:ext cx="2513330" cy="1913255"/>
                    </a:xfrm>
                    <a:prstGeom prst="rect">
                      <a:avLst/>
                    </a:prstGeom>
                    <a:noFill/>
                    <a:ln>
                      <a:noFill/>
                    </a:ln>
                  </pic:spPr>
                </pic:pic>
              </a:graphicData>
            </a:graphic>
          </wp:inline>
        </w:drawing>
      </w:r>
    </w:p>
    <w:p>
      <w:pPr>
        <w:ind w:firstLine="1063" w:firstLineChars="441"/>
        <w:jc w:val="center"/>
        <w:rPr>
          <w:rFonts w:hint="eastAsia" w:ascii="仿宋" w:hAnsi="仿宋" w:eastAsia="仿宋" w:cs="仿宋"/>
          <w:b/>
          <w:color w:val="FF0000"/>
          <w:sz w:val="28"/>
          <w:szCs w:val="28"/>
          <w:highlight w:val="none"/>
        </w:rPr>
      </w:pPr>
      <w:r>
        <w:rPr>
          <w:rFonts w:hint="eastAsia" w:ascii="仿宋" w:hAnsi="仿宋" w:eastAsia="仿宋" w:cs="仿宋"/>
          <w:b/>
          <w:sz w:val="24"/>
          <w:highlight w:val="none"/>
        </w:rPr>
        <w:t>US11CS009785                        US11CS009765</w:t>
      </w:r>
    </w:p>
    <w:p>
      <w:pPr>
        <w:jc w:val="center"/>
        <w:rPr>
          <w:rFonts w:hint="eastAsia" w:ascii="仿宋" w:hAnsi="仿宋" w:eastAsia="仿宋" w:cs="仿宋"/>
          <w:b/>
          <w:color w:val="FF0000"/>
          <w:sz w:val="28"/>
          <w:szCs w:val="28"/>
          <w:highlight w:val="none"/>
        </w:rPr>
      </w:pP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3" name="图片 9" descr="（R201-）20170118_114534"/>
            <wp:cNvGraphicFramePr/>
            <a:graphic xmlns:a="http://schemas.openxmlformats.org/drawingml/2006/main">
              <a:graphicData uri="http://schemas.openxmlformats.org/drawingml/2006/picture">
                <pic:pic xmlns:pic="http://schemas.openxmlformats.org/drawingml/2006/picture">
                  <pic:nvPicPr>
                    <pic:cNvPr id="63" name="图片 9" descr="（R201-）20170118_114534"/>
                    <pic:cNvPicPr preferRelativeResize="0"/>
                  </pic:nvPicPr>
                  <pic:blipFill>
                    <a:blip r:embed="rId15"/>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FF0000"/>
          <w:sz w:val="28"/>
          <w:szCs w:val="28"/>
          <w:highlight w:val="none"/>
        </w:rPr>
        <w:t xml:space="preserve">  </w:t>
      </w: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4" name="图片 10" descr="（R202-9805）20170118_114522"/>
            <wp:cNvGraphicFramePr/>
            <a:graphic xmlns:a="http://schemas.openxmlformats.org/drawingml/2006/main">
              <a:graphicData uri="http://schemas.openxmlformats.org/drawingml/2006/picture">
                <pic:pic xmlns:pic="http://schemas.openxmlformats.org/drawingml/2006/picture">
                  <pic:nvPicPr>
                    <pic:cNvPr id="64" name="图片 10" descr="（R202-9805）20170118_114522"/>
                    <pic:cNvPicPr preferRelativeResize="0"/>
                  </pic:nvPicPr>
                  <pic:blipFill>
                    <a:blip r:embed="rId16"/>
                    <a:stretch>
                      <a:fillRect/>
                    </a:stretch>
                  </pic:blipFill>
                  <pic:spPr>
                    <a:xfrm>
                      <a:off x="0" y="0"/>
                      <a:ext cx="2513330" cy="1913255"/>
                    </a:xfrm>
                    <a:prstGeom prst="rect">
                      <a:avLst/>
                    </a:prstGeom>
                    <a:noFill/>
                    <a:ln>
                      <a:noFill/>
                    </a:ln>
                  </pic:spPr>
                </pic:pic>
              </a:graphicData>
            </a:graphic>
          </wp:inline>
        </w:drawing>
      </w:r>
    </w:p>
    <w:p>
      <w:pPr>
        <w:ind w:firstLine="1063" w:firstLineChars="441"/>
        <w:jc w:val="center"/>
        <w:rPr>
          <w:rFonts w:hint="eastAsia" w:ascii="仿宋" w:hAnsi="仿宋" w:eastAsia="仿宋" w:cs="仿宋"/>
          <w:b/>
          <w:color w:val="FF0000"/>
          <w:sz w:val="28"/>
          <w:szCs w:val="28"/>
          <w:highlight w:val="none"/>
        </w:rPr>
      </w:pPr>
      <w:r>
        <w:rPr>
          <w:rFonts w:hint="eastAsia" w:ascii="仿宋" w:hAnsi="仿宋" w:eastAsia="仿宋" w:cs="仿宋"/>
          <w:b/>
          <w:sz w:val="24"/>
          <w:highlight w:val="none"/>
        </w:rPr>
        <w:t>US11CS009795                        US11CS009805</w:t>
      </w:r>
    </w:p>
    <w:p>
      <w:pPr>
        <w:autoSpaceDE w:val="0"/>
        <w:autoSpaceDN w:val="0"/>
        <w:adjustRightInd w:val="0"/>
        <w:spacing w:line="360" w:lineRule="auto"/>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13330" cy="1913255"/>
            <wp:effectExtent l="0" t="0" r="1270" b="6985"/>
            <wp:docPr id="68" name="图片 11" descr="（D501-9824）20170118_112511"/>
            <wp:cNvGraphicFramePr/>
            <a:graphic xmlns:a="http://schemas.openxmlformats.org/drawingml/2006/main">
              <a:graphicData uri="http://schemas.openxmlformats.org/drawingml/2006/picture">
                <pic:pic xmlns:pic="http://schemas.openxmlformats.org/drawingml/2006/picture">
                  <pic:nvPicPr>
                    <pic:cNvPr id="68" name="图片 11" descr="（D501-9824）20170118_112511"/>
                    <pic:cNvPicPr preferRelativeResize="0"/>
                  </pic:nvPicPr>
                  <pic:blipFill>
                    <a:blip r:embed="rId17"/>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snapToGrid w:val="0"/>
          <w:color w:val="000000"/>
          <w:w w:val="0"/>
          <w:sz w:val="0"/>
          <w:szCs w:val="0"/>
          <w:highlight w:val="none"/>
          <w:u w:val="none" w:color="000000"/>
          <w:shd w:val="clear" w:color="000000" w:fill="000000"/>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69" name="图片 12" descr="（D601高）20170118_141940"/>
            <wp:cNvGraphicFramePr/>
            <a:graphic xmlns:a="http://schemas.openxmlformats.org/drawingml/2006/main">
              <a:graphicData uri="http://schemas.openxmlformats.org/drawingml/2006/picture">
                <pic:pic xmlns:pic="http://schemas.openxmlformats.org/drawingml/2006/picture">
                  <pic:nvPicPr>
                    <pic:cNvPr id="69" name="图片 12" descr="（D601高）20170118_141940"/>
                    <pic:cNvPicPr preferRelativeResize="0"/>
                  </pic:nvPicPr>
                  <pic:blipFill>
                    <a:blip r:embed="rId18"/>
                    <a:stretch>
                      <a:fillRect/>
                    </a:stretch>
                  </pic:blipFill>
                  <pic:spPr>
                    <a:xfrm>
                      <a:off x="0" y="0"/>
                      <a:ext cx="2522855" cy="1908810"/>
                    </a:xfrm>
                    <a:prstGeom prst="rect">
                      <a:avLst/>
                    </a:prstGeom>
                    <a:noFill/>
                    <a:ln>
                      <a:noFill/>
                    </a:ln>
                  </pic:spPr>
                </pic:pic>
              </a:graphicData>
            </a:graphic>
          </wp:inline>
        </w:drawing>
      </w:r>
    </w:p>
    <w:p>
      <w:pPr>
        <w:ind w:firstLine="1063" w:firstLineChars="441"/>
        <w:jc w:val="center"/>
        <w:rPr>
          <w:rFonts w:hint="eastAsia" w:ascii="仿宋" w:hAnsi="仿宋" w:eastAsia="仿宋" w:cs="仿宋"/>
          <w:b/>
          <w:color w:val="FF0000"/>
          <w:sz w:val="28"/>
          <w:szCs w:val="28"/>
          <w:highlight w:val="none"/>
        </w:rPr>
      </w:pPr>
      <w:r>
        <w:rPr>
          <w:rFonts w:hint="eastAsia" w:ascii="仿宋" w:hAnsi="仿宋" w:eastAsia="仿宋" w:cs="仿宋"/>
          <w:b/>
          <w:sz w:val="24"/>
          <w:highlight w:val="none"/>
        </w:rPr>
        <w:t>US11CS009824                        US11CS009854</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13330" cy="1913255"/>
            <wp:effectExtent l="0" t="0" r="1270" b="6985"/>
            <wp:docPr id="61" name="图片 13" descr="(D601低)20170118_140614"/>
            <wp:cNvGraphicFramePr/>
            <a:graphic xmlns:a="http://schemas.openxmlformats.org/drawingml/2006/main">
              <a:graphicData uri="http://schemas.openxmlformats.org/drawingml/2006/picture">
                <pic:pic xmlns:pic="http://schemas.openxmlformats.org/drawingml/2006/picture">
                  <pic:nvPicPr>
                    <pic:cNvPr id="61" name="图片 13" descr="(D601低)20170118_140614"/>
                    <pic:cNvPicPr preferRelativeResize="0"/>
                  </pic:nvPicPr>
                  <pic:blipFill>
                    <a:blip r:embed="rId19"/>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13330" cy="1913255"/>
            <wp:effectExtent l="0" t="0" r="1270" b="6985"/>
            <wp:docPr id="70" name="图片 14" descr="（D602高）20170118_141203"/>
            <wp:cNvGraphicFramePr/>
            <a:graphic xmlns:a="http://schemas.openxmlformats.org/drawingml/2006/main">
              <a:graphicData uri="http://schemas.openxmlformats.org/drawingml/2006/picture">
                <pic:pic xmlns:pic="http://schemas.openxmlformats.org/drawingml/2006/picture">
                  <pic:nvPicPr>
                    <pic:cNvPr id="70" name="图片 14" descr="（D602高）20170118_141203"/>
                    <pic:cNvPicPr preferRelativeResize="0"/>
                  </pic:nvPicPr>
                  <pic:blipFill>
                    <a:blip r:embed="rId20"/>
                    <a:stretch>
                      <a:fillRect/>
                    </a:stretch>
                  </pic:blipFill>
                  <pic:spPr>
                    <a:xfrm>
                      <a:off x="0" y="0"/>
                      <a:ext cx="2513330" cy="1913255"/>
                    </a:xfrm>
                    <a:prstGeom prst="rect">
                      <a:avLst/>
                    </a:prstGeom>
                    <a:noFill/>
                    <a:ln>
                      <a:noFill/>
                    </a:ln>
                  </pic:spPr>
                </pic:pic>
              </a:graphicData>
            </a:graphic>
          </wp:inline>
        </w:drawing>
      </w:r>
    </w:p>
    <w:p>
      <w:pPr>
        <w:autoSpaceDE w:val="0"/>
        <w:autoSpaceDN w:val="0"/>
        <w:adjustRightInd w:val="0"/>
        <w:ind w:firstLine="1181" w:firstLineChars="490"/>
        <w:jc w:val="center"/>
        <w:rPr>
          <w:rFonts w:hint="eastAsia" w:ascii="仿宋" w:hAnsi="仿宋" w:eastAsia="仿宋" w:cs="仿宋"/>
          <w:b/>
          <w:color w:val="000000"/>
          <w:sz w:val="28"/>
          <w:szCs w:val="28"/>
          <w:highlight w:val="none"/>
        </w:rPr>
      </w:pPr>
      <w:r>
        <w:rPr>
          <w:rFonts w:hint="eastAsia" w:ascii="仿宋" w:hAnsi="仿宋" w:eastAsia="仿宋" w:cs="仿宋"/>
          <w:b/>
          <w:sz w:val="24"/>
          <w:highlight w:val="none"/>
        </w:rPr>
        <w:t>US11CS009864                        US11CS009844</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71" name="图片 15" descr="（D602低）20170118_135845"/>
            <wp:cNvGraphicFramePr/>
            <a:graphic xmlns:a="http://schemas.openxmlformats.org/drawingml/2006/main">
              <a:graphicData uri="http://schemas.openxmlformats.org/drawingml/2006/picture">
                <pic:pic xmlns:pic="http://schemas.openxmlformats.org/drawingml/2006/picture">
                  <pic:nvPicPr>
                    <pic:cNvPr id="71" name="图片 15" descr="（D602低）20170118_135845"/>
                    <pic:cNvPicPr preferRelativeResize="0"/>
                  </pic:nvPicPr>
                  <pic:blipFill>
                    <a:blip r:embed="rId21"/>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13330" cy="1913255"/>
            <wp:effectExtent l="0" t="0" r="1270" b="6985"/>
            <wp:docPr id="72" name="图片 16" descr="（D603-9775）20170118_135125"/>
            <wp:cNvGraphicFramePr/>
            <a:graphic xmlns:a="http://schemas.openxmlformats.org/drawingml/2006/main">
              <a:graphicData uri="http://schemas.openxmlformats.org/drawingml/2006/picture">
                <pic:pic xmlns:pic="http://schemas.openxmlformats.org/drawingml/2006/picture">
                  <pic:nvPicPr>
                    <pic:cNvPr id="72" name="图片 16" descr="（D603-9775）20170118_135125"/>
                    <pic:cNvPicPr preferRelativeResize="0"/>
                  </pic:nvPicPr>
                  <pic:blipFill>
                    <a:blip r:embed="rId22"/>
                    <a:stretch>
                      <a:fillRect/>
                    </a:stretch>
                  </pic:blipFill>
                  <pic:spPr>
                    <a:xfrm>
                      <a:off x="0" y="0"/>
                      <a:ext cx="2513330" cy="1913255"/>
                    </a:xfrm>
                    <a:prstGeom prst="rect">
                      <a:avLst/>
                    </a:prstGeom>
                    <a:noFill/>
                    <a:ln>
                      <a:noFill/>
                    </a:ln>
                  </pic:spPr>
                </pic:pic>
              </a:graphicData>
            </a:graphic>
          </wp:inline>
        </w:drawing>
      </w:r>
    </w:p>
    <w:p>
      <w:pPr>
        <w:autoSpaceDE w:val="0"/>
        <w:autoSpaceDN w:val="0"/>
        <w:adjustRightInd w:val="0"/>
        <w:jc w:val="center"/>
        <w:rPr>
          <w:rFonts w:hint="eastAsia" w:ascii="仿宋" w:hAnsi="仿宋" w:eastAsia="仿宋" w:cs="仿宋"/>
          <w:b/>
          <w:sz w:val="24"/>
          <w:highlight w:val="none"/>
        </w:rPr>
      </w:pPr>
      <w:r>
        <w:rPr>
          <w:rFonts w:hint="eastAsia" w:ascii="仿宋" w:hAnsi="仿宋" w:eastAsia="仿宋" w:cs="仿宋"/>
          <w:b/>
          <w:sz w:val="24"/>
          <w:highlight w:val="none"/>
        </w:rPr>
        <w:t>US11CS009834                        US11CS009775</w:t>
      </w:r>
    </w:p>
    <w:p>
      <w:pPr>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t>15万吨聚丙烯装置放射源源闸开关</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73" name="图片 17" descr="(D301-F301开关)20170118_110149"/>
            <wp:cNvGraphicFramePr/>
            <a:graphic xmlns:a="http://schemas.openxmlformats.org/drawingml/2006/main">
              <a:graphicData uri="http://schemas.openxmlformats.org/drawingml/2006/picture">
                <pic:pic xmlns:pic="http://schemas.openxmlformats.org/drawingml/2006/picture">
                  <pic:nvPicPr>
                    <pic:cNvPr id="73" name="图片 17" descr="(D301-F301开关)20170118_110149"/>
                    <pic:cNvPicPr preferRelativeResize="0"/>
                  </pic:nvPicPr>
                  <pic:blipFill>
                    <a:blip r:embed="rId23"/>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60" name="图片 18" descr="（D301-745"/>
            <wp:cNvGraphicFramePr/>
            <a:graphic xmlns:a="http://schemas.openxmlformats.org/drawingml/2006/main">
              <a:graphicData uri="http://schemas.openxmlformats.org/drawingml/2006/picture">
                <pic:pic xmlns:pic="http://schemas.openxmlformats.org/drawingml/2006/picture">
                  <pic:nvPicPr>
                    <pic:cNvPr id="60" name="图片 18" descr="（D301-745"/>
                    <pic:cNvPicPr preferRelativeResize="0"/>
                  </pic:nvPicPr>
                  <pic:blipFill>
                    <a:blip r:embed="rId24"/>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56" name="图片 19" descr="（F301-9765开关）20170118_112246"/>
            <wp:cNvGraphicFramePr/>
            <a:graphic xmlns:a="http://schemas.openxmlformats.org/drawingml/2006/main">
              <a:graphicData uri="http://schemas.openxmlformats.org/drawingml/2006/picture">
                <pic:pic xmlns:pic="http://schemas.openxmlformats.org/drawingml/2006/picture">
                  <pic:nvPicPr>
                    <pic:cNvPr id="56" name="图片 19" descr="（F301-9765开关）20170118_112246"/>
                    <pic:cNvPicPr preferRelativeResize="0"/>
                  </pic:nvPicPr>
                  <pic:blipFill>
                    <a:blip r:embed="rId25"/>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55" name="图片 20" descr="（D501-9824开关）20170118_113106"/>
            <wp:cNvGraphicFramePr/>
            <a:graphic xmlns:a="http://schemas.openxmlformats.org/drawingml/2006/main">
              <a:graphicData uri="http://schemas.openxmlformats.org/drawingml/2006/picture">
                <pic:pic xmlns:pic="http://schemas.openxmlformats.org/drawingml/2006/picture">
                  <pic:nvPicPr>
                    <pic:cNvPr id="55" name="图片 20" descr="（D501-9824开关）20170118_113106"/>
                    <pic:cNvPicPr preferRelativeResize="0"/>
                  </pic:nvPicPr>
                  <pic:blipFill>
                    <a:blip r:embed="rId26"/>
                    <a:stretch>
                      <a:fillRect/>
                    </a:stretch>
                  </pic:blipFill>
                  <pic:spPr>
                    <a:xfrm>
                      <a:off x="0" y="0"/>
                      <a:ext cx="1219200" cy="1908810"/>
                    </a:xfrm>
                    <a:prstGeom prst="rect">
                      <a:avLst/>
                    </a:prstGeom>
                    <a:noFill/>
                    <a:ln>
                      <a:noFill/>
                    </a:ln>
                  </pic:spPr>
                </pic:pic>
              </a:graphicData>
            </a:graphic>
          </wp:inline>
        </w:drawing>
      </w:r>
    </w:p>
    <w:p>
      <w:pPr>
        <w:autoSpaceDE w:val="0"/>
        <w:autoSpaceDN w:val="0"/>
        <w:adjustRightInd w:val="0"/>
        <w:jc w:val="center"/>
        <w:rPr>
          <w:rFonts w:hint="eastAsia" w:ascii="仿宋" w:hAnsi="仿宋" w:eastAsia="仿宋" w:cs="仿宋"/>
          <w:b/>
          <w:szCs w:val="21"/>
          <w:highlight w:val="none"/>
        </w:rPr>
      </w:pPr>
      <w:r>
        <w:rPr>
          <w:rFonts w:hint="eastAsia" w:ascii="仿宋" w:hAnsi="仿宋" w:eastAsia="仿宋" w:cs="仿宋"/>
          <w:b/>
          <w:szCs w:val="21"/>
          <w:highlight w:val="none"/>
        </w:rPr>
        <w:t>US11CS009814/9785</w:t>
      </w:r>
      <w:r>
        <w:rPr>
          <w:rFonts w:hint="eastAsia" w:ascii="仿宋" w:hAnsi="仿宋" w:eastAsia="仿宋" w:cs="仿宋"/>
          <w:b/>
          <w:sz w:val="24"/>
          <w:highlight w:val="none"/>
        </w:rPr>
        <w:t xml:space="preserve">   </w:t>
      </w:r>
      <w:r>
        <w:rPr>
          <w:rFonts w:hint="eastAsia" w:ascii="仿宋" w:hAnsi="仿宋" w:eastAsia="仿宋" w:cs="仿宋"/>
          <w:b/>
          <w:szCs w:val="21"/>
          <w:highlight w:val="none"/>
        </w:rPr>
        <w:t>US11CS009745/9755     US11CS009765         US11CS009824</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57" name="图片 21" descr="（R202"/>
            <wp:cNvGraphicFramePr/>
            <a:graphic xmlns:a="http://schemas.openxmlformats.org/drawingml/2006/main">
              <a:graphicData uri="http://schemas.openxmlformats.org/drawingml/2006/picture">
                <pic:pic xmlns:pic="http://schemas.openxmlformats.org/drawingml/2006/picture">
                  <pic:nvPicPr>
                    <pic:cNvPr id="57" name="图片 21" descr="（R202"/>
                    <pic:cNvPicPr preferRelativeResize="0"/>
                  </pic:nvPicPr>
                  <pic:blipFill>
                    <a:blip r:embed="rId27"/>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28090" cy="1913255"/>
            <wp:effectExtent l="0" t="0" r="6350" b="6985"/>
            <wp:docPr id="54" name="图片 22" descr="(D601。2枚开关)20170118_140617"/>
            <wp:cNvGraphicFramePr/>
            <a:graphic xmlns:a="http://schemas.openxmlformats.org/drawingml/2006/main">
              <a:graphicData uri="http://schemas.openxmlformats.org/drawingml/2006/picture">
                <pic:pic xmlns:pic="http://schemas.openxmlformats.org/drawingml/2006/picture">
                  <pic:nvPicPr>
                    <pic:cNvPr id="54" name="图片 22" descr="(D601。2枚开关)20170118_140617"/>
                    <pic:cNvPicPr preferRelativeResize="0"/>
                  </pic:nvPicPr>
                  <pic:blipFill>
                    <a:blip r:embed="rId28"/>
                    <a:stretch>
                      <a:fillRect/>
                    </a:stretch>
                  </pic:blipFill>
                  <pic:spPr>
                    <a:xfrm>
                      <a:off x="0" y="0"/>
                      <a:ext cx="1228090" cy="1913255"/>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51" name="图片 23" descr="（D602"/>
            <wp:cNvGraphicFramePr/>
            <a:graphic xmlns:a="http://schemas.openxmlformats.org/drawingml/2006/main">
              <a:graphicData uri="http://schemas.openxmlformats.org/drawingml/2006/picture">
                <pic:pic xmlns:pic="http://schemas.openxmlformats.org/drawingml/2006/picture">
                  <pic:nvPicPr>
                    <pic:cNvPr id="51" name="图片 23" descr="（D602"/>
                    <pic:cNvPicPr preferRelativeResize="0"/>
                  </pic:nvPicPr>
                  <pic:blipFill>
                    <a:blip r:embed="rId29"/>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28090" cy="1913255"/>
            <wp:effectExtent l="0" t="0" r="6350" b="6985"/>
            <wp:docPr id="52" name="图片 24" descr="（D603-9775开关）20170118_134643"/>
            <wp:cNvGraphicFramePr/>
            <a:graphic xmlns:a="http://schemas.openxmlformats.org/drawingml/2006/main">
              <a:graphicData uri="http://schemas.openxmlformats.org/drawingml/2006/picture">
                <pic:pic xmlns:pic="http://schemas.openxmlformats.org/drawingml/2006/picture">
                  <pic:nvPicPr>
                    <pic:cNvPr id="52" name="图片 24" descr="（D603-9775开关）20170118_134643"/>
                    <pic:cNvPicPr preferRelativeResize="0"/>
                  </pic:nvPicPr>
                  <pic:blipFill>
                    <a:blip r:embed="rId30"/>
                    <a:srcRect l="12315" r="37671"/>
                    <a:stretch>
                      <a:fillRect/>
                    </a:stretch>
                  </pic:blipFill>
                  <pic:spPr>
                    <a:xfrm>
                      <a:off x="0" y="0"/>
                      <a:ext cx="1228090" cy="1913255"/>
                    </a:xfrm>
                    <a:prstGeom prst="rect">
                      <a:avLst/>
                    </a:prstGeom>
                    <a:noFill/>
                    <a:ln>
                      <a:noFill/>
                    </a:ln>
                  </pic:spPr>
                </pic:pic>
              </a:graphicData>
            </a:graphic>
          </wp:inline>
        </w:drawing>
      </w:r>
    </w:p>
    <w:p>
      <w:pPr>
        <w:autoSpaceDE w:val="0"/>
        <w:autoSpaceDN w:val="0"/>
        <w:adjustRightInd w:val="0"/>
        <w:jc w:val="center"/>
        <w:rPr>
          <w:rFonts w:hint="eastAsia" w:ascii="仿宋" w:hAnsi="仿宋" w:eastAsia="仿宋" w:cs="仿宋"/>
          <w:b/>
          <w:szCs w:val="21"/>
          <w:highlight w:val="none"/>
        </w:rPr>
      </w:pPr>
      <w:r>
        <w:rPr>
          <w:rFonts w:hint="eastAsia" w:ascii="仿宋" w:hAnsi="仿宋" w:eastAsia="仿宋" w:cs="仿宋"/>
          <w:b/>
          <w:szCs w:val="21"/>
          <w:highlight w:val="none"/>
        </w:rPr>
        <w:t>US11CS009795/9805   US11CS009854/9864    US11CS009834/9844     US11CS009775</w:t>
      </w:r>
    </w:p>
    <w:p>
      <w:pPr>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eastAsia" w:ascii="仿宋" w:hAnsi="仿宋" w:eastAsia="仿宋" w:cs="仿宋"/>
          <w:b/>
          <w:color w:val="000000"/>
          <w:sz w:val="28"/>
          <w:szCs w:val="28"/>
          <w:highlight w:val="none"/>
        </w:rPr>
      </w:pPr>
    </w:p>
    <w:p>
      <w:pPr>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t>60万吨重整装置放射源</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53" name="图片 25" descr="(R201还原段3001)20170118_151817"/>
            <wp:cNvGraphicFramePr/>
            <a:graphic xmlns:a="http://schemas.openxmlformats.org/drawingml/2006/main">
              <a:graphicData uri="http://schemas.openxmlformats.org/drawingml/2006/picture">
                <pic:pic xmlns:pic="http://schemas.openxmlformats.org/drawingml/2006/picture">
                  <pic:nvPicPr>
                    <pic:cNvPr id="53" name="图片 25" descr="(R201还原段3001)20170118_151817"/>
                    <pic:cNvPicPr preferRelativeResize="0"/>
                  </pic:nvPicPr>
                  <pic:blipFill>
                    <a:blip r:embed="rId31"/>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50" name="图片 26" descr="(R201还原段3002)20170118_151804"/>
            <wp:cNvGraphicFramePr/>
            <a:graphic xmlns:a="http://schemas.openxmlformats.org/drawingml/2006/main">
              <a:graphicData uri="http://schemas.openxmlformats.org/drawingml/2006/picture">
                <pic:pic xmlns:pic="http://schemas.openxmlformats.org/drawingml/2006/picture">
                  <pic:nvPicPr>
                    <pic:cNvPr id="50" name="图片 26" descr="(R201还原段3002)20170118_151804"/>
                    <pic:cNvPicPr preferRelativeResize="0"/>
                  </pic:nvPicPr>
                  <pic:blipFill>
                    <a:blip r:embed="rId32"/>
                    <a:stretch>
                      <a:fillRect/>
                    </a:stretch>
                  </pic:blipFill>
                  <pic:spPr>
                    <a:xfrm>
                      <a:off x="0" y="0"/>
                      <a:ext cx="2522855" cy="1908810"/>
                    </a:xfrm>
                    <a:prstGeom prst="rect">
                      <a:avLst/>
                    </a:prstGeom>
                    <a:noFill/>
                    <a:ln>
                      <a:noFill/>
                    </a:ln>
                  </pic:spPr>
                </pic:pic>
              </a:graphicData>
            </a:graphic>
          </wp:inline>
        </w:drawing>
      </w:r>
    </w:p>
    <w:p>
      <w:pPr>
        <w:autoSpaceDE w:val="0"/>
        <w:autoSpaceDN w:val="0"/>
        <w:adjustRightInd w:val="0"/>
        <w:ind w:firstLine="1181" w:firstLineChars="490"/>
        <w:jc w:val="center"/>
        <w:rPr>
          <w:rFonts w:hint="eastAsia" w:ascii="仿宋" w:hAnsi="仿宋" w:eastAsia="仿宋" w:cs="仿宋"/>
          <w:b/>
          <w:color w:val="000000"/>
          <w:sz w:val="28"/>
          <w:szCs w:val="28"/>
          <w:highlight w:val="none"/>
        </w:rPr>
      </w:pPr>
      <w:r>
        <w:rPr>
          <w:rFonts w:hint="eastAsia" w:ascii="仿宋" w:hAnsi="仿宋" w:eastAsia="仿宋" w:cs="仿宋"/>
          <w:b/>
          <w:sz w:val="24"/>
          <w:highlight w:val="none"/>
        </w:rPr>
        <w:t>US12CS002995                        US12CS003005</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49" name="图片 27" descr="（V303分离区3015）20170118_150240"/>
            <wp:cNvGraphicFramePr/>
            <a:graphic xmlns:a="http://schemas.openxmlformats.org/drawingml/2006/main">
              <a:graphicData uri="http://schemas.openxmlformats.org/drawingml/2006/picture">
                <pic:pic xmlns:pic="http://schemas.openxmlformats.org/drawingml/2006/picture">
                  <pic:nvPicPr>
                    <pic:cNvPr id="49" name="图片 27" descr="（V303分离区3015）20170118_150240"/>
                    <pic:cNvPicPr preferRelativeResize="0"/>
                  </pic:nvPicPr>
                  <pic:blipFill>
                    <a:blip r:embed="rId33"/>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59" name="图片 28" descr="（V303分离区3025）20170118_152348"/>
            <wp:cNvGraphicFramePr/>
            <a:graphic xmlns:a="http://schemas.openxmlformats.org/drawingml/2006/main">
              <a:graphicData uri="http://schemas.openxmlformats.org/drawingml/2006/picture">
                <pic:pic xmlns:pic="http://schemas.openxmlformats.org/drawingml/2006/picture">
                  <pic:nvPicPr>
                    <pic:cNvPr id="59" name="图片 28" descr="（V303分离区3025）20170118_152348"/>
                    <pic:cNvPicPr preferRelativeResize="0"/>
                  </pic:nvPicPr>
                  <pic:blipFill>
                    <a:blip r:embed="rId34"/>
                    <a:stretch>
                      <a:fillRect/>
                    </a:stretch>
                  </pic:blipFill>
                  <pic:spPr>
                    <a:xfrm>
                      <a:off x="0" y="0"/>
                      <a:ext cx="2522855" cy="1908810"/>
                    </a:xfrm>
                    <a:prstGeom prst="rect">
                      <a:avLst/>
                    </a:prstGeom>
                    <a:noFill/>
                    <a:ln>
                      <a:noFill/>
                    </a:ln>
                  </pic:spPr>
                </pic:pic>
              </a:graphicData>
            </a:graphic>
          </wp:inline>
        </w:drawing>
      </w:r>
    </w:p>
    <w:p>
      <w:pPr>
        <w:autoSpaceDE w:val="0"/>
        <w:autoSpaceDN w:val="0"/>
        <w:adjustRightInd w:val="0"/>
        <w:ind w:firstLine="1181" w:firstLineChars="490"/>
        <w:jc w:val="center"/>
        <w:rPr>
          <w:rFonts w:hint="eastAsia" w:ascii="仿宋" w:hAnsi="仿宋" w:eastAsia="仿宋" w:cs="仿宋"/>
          <w:b/>
          <w:color w:val="000000"/>
          <w:sz w:val="28"/>
          <w:szCs w:val="28"/>
          <w:highlight w:val="none"/>
        </w:rPr>
      </w:pPr>
      <w:r>
        <w:rPr>
          <w:rFonts w:hint="eastAsia" w:ascii="仿宋" w:hAnsi="仿宋" w:eastAsia="仿宋" w:cs="仿宋"/>
          <w:b/>
          <w:sz w:val="24"/>
          <w:highlight w:val="none"/>
        </w:rPr>
        <w:t>US12CS003015                         US12CS003025</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58" name="图片 29" descr="（V303分离区3035）20170118_154333"/>
            <wp:cNvGraphicFramePr/>
            <a:graphic xmlns:a="http://schemas.openxmlformats.org/drawingml/2006/main">
              <a:graphicData uri="http://schemas.openxmlformats.org/drawingml/2006/picture">
                <pic:pic xmlns:pic="http://schemas.openxmlformats.org/drawingml/2006/picture">
                  <pic:nvPicPr>
                    <pic:cNvPr id="58" name="图片 29" descr="（V303分离区3035）20170118_154333"/>
                    <pic:cNvPicPr preferRelativeResize="0"/>
                  </pic:nvPicPr>
                  <pic:blipFill>
                    <a:blip r:embed="rId35"/>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74" name="图片 30" descr="（V303吸収段）20170118_152339"/>
            <wp:cNvGraphicFramePr/>
            <a:graphic xmlns:a="http://schemas.openxmlformats.org/drawingml/2006/main">
              <a:graphicData uri="http://schemas.openxmlformats.org/drawingml/2006/picture">
                <pic:pic xmlns:pic="http://schemas.openxmlformats.org/drawingml/2006/picture">
                  <pic:nvPicPr>
                    <pic:cNvPr id="74" name="图片 30" descr="（V303吸収段）20170118_152339"/>
                    <pic:cNvPicPr preferRelativeResize="0"/>
                  </pic:nvPicPr>
                  <pic:blipFill>
                    <a:blip r:embed="rId36"/>
                    <a:stretch>
                      <a:fillRect/>
                    </a:stretch>
                  </pic:blipFill>
                  <pic:spPr>
                    <a:xfrm>
                      <a:off x="0" y="0"/>
                      <a:ext cx="2522855" cy="1908810"/>
                    </a:xfrm>
                    <a:prstGeom prst="rect">
                      <a:avLst/>
                    </a:prstGeom>
                    <a:noFill/>
                    <a:ln>
                      <a:noFill/>
                    </a:ln>
                  </pic:spPr>
                </pic:pic>
              </a:graphicData>
            </a:graphic>
          </wp:inline>
        </w:drawing>
      </w:r>
    </w:p>
    <w:p>
      <w:pPr>
        <w:autoSpaceDE w:val="0"/>
        <w:autoSpaceDN w:val="0"/>
        <w:adjustRightInd w:val="0"/>
        <w:ind w:firstLine="1181" w:firstLineChars="490"/>
        <w:jc w:val="center"/>
        <w:rPr>
          <w:rFonts w:hint="eastAsia" w:ascii="仿宋" w:hAnsi="仿宋" w:eastAsia="仿宋" w:cs="仿宋"/>
          <w:b/>
          <w:sz w:val="24"/>
          <w:highlight w:val="none"/>
        </w:rPr>
      </w:pPr>
      <w:r>
        <w:rPr>
          <w:rFonts w:hint="eastAsia" w:ascii="仿宋" w:hAnsi="仿宋" w:eastAsia="仿宋" w:cs="仿宋"/>
          <w:b/>
          <w:sz w:val="24"/>
          <w:highlight w:val="none"/>
        </w:rPr>
        <w:t>US12CS003035                         US12CS003045</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76" name="图片 31"/>
            <wp:cNvGraphicFramePr/>
            <a:graphic xmlns:a="http://schemas.openxmlformats.org/drawingml/2006/main">
              <a:graphicData uri="http://schemas.openxmlformats.org/drawingml/2006/picture">
                <pic:pic xmlns:pic="http://schemas.openxmlformats.org/drawingml/2006/picture">
                  <pic:nvPicPr>
                    <pic:cNvPr id="76" name="图片 31"/>
                    <pic:cNvPicPr preferRelativeResize="0"/>
                  </pic:nvPicPr>
                  <pic:blipFill>
                    <a:blip r:embed="rId37"/>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75" name="图片 32" descr="V308闭锁段20170118_150216"/>
            <wp:cNvGraphicFramePr/>
            <a:graphic xmlns:a="http://schemas.openxmlformats.org/drawingml/2006/main">
              <a:graphicData uri="http://schemas.openxmlformats.org/drawingml/2006/picture">
                <pic:pic xmlns:pic="http://schemas.openxmlformats.org/drawingml/2006/picture">
                  <pic:nvPicPr>
                    <pic:cNvPr id="75" name="图片 32" descr="V308闭锁段20170118_150216"/>
                    <pic:cNvPicPr preferRelativeResize="0"/>
                  </pic:nvPicPr>
                  <pic:blipFill>
                    <a:blip r:embed="rId38"/>
                    <a:stretch>
                      <a:fillRect/>
                    </a:stretch>
                  </pic:blipFill>
                  <pic:spPr>
                    <a:xfrm>
                      <a:off x="0" y="0"/>
                      <a:ext cx="2522855" cy="1908810"/>
                    </a:xfrm>
                    <a:prstGeom prst="rect">
                      <a:avLst/>
                    </a:prstGeom>
                    <a:noFill/>
                    <a:ln>
                      <a:noFill/>
                    </a:ln>
                  </pic:spPr>
                </pic:pic>
              </a:graphicData>
            </a:graphic>
          </wp:inline>
        </w:drawing>
      </w:r>
    </w:p>
    <w:p>
      <w:pPr>
        <w:autoSpaceDE w:val="0"/>
        <w:autoSpaceDN w:val="0"/>
        <w:adjustRightInd w:val="0"/>
        <w:ind w:firstLine="826" w:firstLineChars="343"/>
        <w:jc w:val="center"/>
        <w:rPr>
          <w:rFonts w:hint="eastAsia" w:ascii="仿宋" w:hAnsi="仿宋" w:eastAsia="仿宋" w:cs="仿宋"/>
          <w:b/>
          <w:color w:val="000000"/>
          <w:sz w:val="28"/>
          <w:szCs w:val="28"/>
          <w:highlight w:val="none"/>
        </w:rPr>
      </w:pPr>
      <w:r>
        <w:rPr>
          <w:rFonts w:hint="eastAsia" w:ascii="仿宋" w:hAnsi="仿宋" w:eastAsia="仿宋" w:cs="仿宋"/>
          <w:b/>
          <w:sz w:val="24"/>
          <w:highlight w:val="none"/>
        </w:rPr>
        <w:t>US12CS003055/3065                      US12CS003075</w:t>
      </w:r>
    </w:p>
    <w:p>
      <w:pPr>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snapToGrid w:val="0"/>
          <w:color w:val="auto"/>
          <w:kern w:val="0"/>
          <w:sz w:val="24"/>
          <w:szCs w:val="21"/>
          <w:highlight w:val="none"/>
          <w:lang w:val="en-US" w:eastAsia="zh-CN"/>
        </w:rPr>
        <w:br w:type="page"/>
      </w:r>
    </w:p>
    <w:p>
      <w:pPr>
        <w:pStyle w:val="4"/>
        <w:numPr>
          <w:ilvl w:val="0"/>
          <w:numId w:val="0"/>
        </w:numPr>
        <w:bidi w:val="0"/>
        <w:jc w:val="center"/>
        <w:rPr>
          <w:rFonts w:hint="eastAsia" w:ascii="仿宋" w:hAnsi="仿宋" w:eastAsia="仿宋" w:cs="仿宋"/>
          <w:highlight w:val="none"/>
        </w:rPr>
      </w:pPr>
      <w:bookmarkStart w:id="15" w:name="_Toc22781"/>
      <w:bookmarkStart w:id="16" w:name="_Toc20800"/>
      <w:r>
        <w:rPr>
          <w:rFonts w:hint="eastAsia" w:ascii="仿宋" w:hAnsi="仿宋" w:eastAsia="仿宋" w:cs="仿宋"/>
          <w:highlight w:val="none"/>
          <w:lang w:val="en-US" w:eastAsia="zh-CN"/>
        </w:rPr>
        <w:t>四、</w:t>
      </w:r>
      <w:r>
        <w:rPr>
          <w:rFonts w:hint="eastAsia" w:ascii="仿宋" w:hAnsi="仿宋" w:eastAsia="仿宋" w:cs="仿宋"/>
          <w:highlight w:val="none"/>
        </w:rPr>
        <w:t>环境管理实施情况</w:t>
      </w:r>
      <w:bookmarkEnd w:id="15"/>
      <w:bookmarkEnd w:id="16"/>
    </w:p>
    <w:p>
      <w:pPr>
        <w:pStyle w:val="5"/>
        <w:bidi w:val="0"/>
        <w:rPr>
          <w:rFonts w:hint="eastAsia" w:ascii="仿宋" w:hAnsi="仿宋" w:eastAsia="仿宋" w:cs="仿宋"/>
          <w:sz w:val="28"/>
          <w:szCs w:val="28"/>
          <w:highlight w:val="none"/>
        </w:rPr>
      </w:pPr>
      <w:bookmarkStart w:id="17" w:name="_Toc6363"/>
      <w:bookmarkStart w:id="18" w:name="_Toc17984"/>
      <w:bookmarkStart w:id="19" w:name="OLE_LINK2"/>
      <w:bookmarkStart w:id="20" w:name="OLE_LINK1"/>
      <w:r>
        <w:rPr>
          <w:rFonts w:hint="eastAsia" w:ascii="仿宋" w:hAnsi="仿宋" w:eastAsia="仿宋" w:cs="仿宋"/>
          <w:sz w:val="28"/>
          <w:szCs w:val="28"/>
          <w:highlight w:val="none"/>
          <w:lang w:val="en-US" w:eastAsia="zh-CN"/>
        </w:rPr>
        <w:t>4.1</w:t>
      </w:r>
      <w:r>
        <w:rPr>
          <w:rFonts w:hint="eastAsia" w:ascii="仿宋" w:hAnsi="仿宋" w:eastAsia="仿宋" w:cs="仿宋"/>
          <w:sz w:val="28"/>
          <w:szCs w:val="28"/>
          <w:highlight w:val="none"/>
        </w:rPr>
        <w:t>放射源安全和防护设施的运行与维护情况</w:t>
      </w:r>
      <w:bookmarkEnd w:id="17"/>
      <w:bookmarkEnd w:id="18"/>
    </w:p>
    <w:bookmarkEnd w:id="19"/>
    <w:bookmarkEnd w:id="20"/>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1、工作人员配备防护用品，有铅眼镜、铅裤衩、铅背心、个人剂量计等。</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2、放射源的拆卸、安装都委托有资质的人员进行操作，回装放射源后进行调试和现场监测，并出具报告。</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3、按时完成个人剂量计的定检，并根据卫生主管部门的要求，组织放射源工作人员进行体检。</w:t>
      </w:r>
    </w:p>
    <w:p>
      <w:pPr>
        <w:pStyle w:val="5"/>
        <w:bidi w:val="0"/>
        <w:rPr>
          <w:rFonts w:hint="eastAsia" w:ascii="仿宋" w:hAnsi="仿宋" w:eastAsia="仿宋" w:cs="仿宋"/>
          <w:sz w:val="28"/>
          <w:szCs w:val="28"/>
          <w:highlight w:val="none"/>
        </w:rPr>
      </w:pPr>
      <w:bookmarkStart w:id="21" w:name="_Toc22495"/>
      <w:bookmarkStart w:id="22" w:name="_Toc16318"/>
      <w:r>
        <w:rPr>
          <w:rFonts w:hint="eastAsia" w:ascii="仿宋" w:hAnsi="仿宋" w:eastAsia="仿宋" w:cs="仿宋"/>
          <w:sz w:val="28"/>
          <w:szCs w:val="28"/>
          <w:highlight w:val="none"/>
          <w:lang w:val="en-US" w:eastAsia="zh-CN"/>
        </w:rPr>
        <w:t>4.2</w:t>
      </w:r>
      <w:r>
        <w:rPr>
          <w:rFonts w:hint="eastAsia" w:ascii="仿宋" w:hAnsi="仿宋" w:eastAsia="仿宋" w:cs="仿宋"/>
          <w:sz w:val="28"/>
          <w:szCs w:val="28"/>
          <w:highlight w:val="none"/>
        </w:rPr>
        <w:t>放射源安全和防护制度及措施的制度与落实情况</w:t>
      </w:r>
      <w:bookmarkEnd w:id="21"/>
      <w:bookmarkEnd w:id="2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w:t>
      </w:r>
      <w:r>
        <w:rPr>
          <w:rFonts w:hint="eastAsia" w:ascii="仿宋" w:hAnsi="仿宋" w:eastAsia="仿宋" w:cs="仿宋"/>
          <w:color w:val="auto"/>
          <w:sz w:val="28"/>
          <w:szCs w:val="28"/>
          <w:highlight w:val="none"/>
          <w:lang w:val="en-US" w:eastAsia="zh-CN"/>
        </w:rPr>
        <w:t>按照放射源有关的法律法规的要求，成立辐射安全管理机构-呼和浩特石化公司辐射安全与环境保护管理小组，制定了《放射源防护和安全使用管理制度》、《辐射岗位工作职责》、《放射源安全操作规程》、《放射源检修维护制度》、《辐射工作人员岗位职责》、《放射防护和安全保卫制度》、《放射源使用登记制度》、《人员培训计划》、《放射源监测方案》等制度；在放射源装置附近设立了醒目的警示标志；放射源工作人员持证上岗。并在全国核技术利用辐射安全申报系统中申报。</w:t>
      </w:r>
    </w:p>
    <w:p>
      <w:pPr>
        <w:pStyle w:val="5"/>
        <w:bidi w:val="0"/>
        <w:rPr>
          <w:rFonts w:hint="eastAsia" w:ascii="仿宋" w:hAnsi="仿宋" w:eastAsia="仿宋" w:cs="仿宋"/>
          <w:sz w:val="28"/>
          <w:szCs w:val="28"/>
          <w:highlight w:val="none"/>
        </w:rPr>
      </w:pPr>
      <w:bookmarkStart w:id="23" w:name="_Toc28215"/>
      <w:bookmarkStart w:id="24" w:name="_Toc19886"/>
      <w:r>
        <w:rPr>
          <w:rFonts w:hint="eastAsia" w:ascii="仿宋" w:hAnsi="仿宋" w:eastAsia="仿宋" w:cs="仿宋"/>
          <w:sz w:val="28"/>
          <w:szCs w:val="28"/>
          <w:highlight w:val="none"/>
          <w:lang w:val="en-US" w:eastAsia="zh-CN"/>
        </w:rPr>
        <w:t>4.3</w:t>
      </w:r>
      <w:r>
        <w:rPr>
          <w:rFonts w:hint="eastAsia" w:ascii="仿宋" w:hAnsi="仿宋" w:eastAsia="仿宋" w:cs="仿宋"/>
          <w:sz w:val="28"/>
          <w:szCs w:val="28"/>
          <w:highlight w:val="none"/>
        </w:rPr>
        <w:t>放射源进出口、转让或者送贮情况以及台账</w:t>
      </w:r>
      <w:bookmarkEnd w:id="23"/>
      <w:bookmarkEnd w:id="24"/>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bookmarkStart w:id="25" w:name="_Toc1947"/>
      <w:r>
        <w:rPr>
          <w:rFonts w:hint="eastAsia" w:ascii="仿宋" w:hAnsi="仿宋" w:eastAsia="仿宋" w:cs="仿宋"/>
          <w:snapToGrid w:val="0"/>
          <w:color w:val="auto"/>
          <w:kern w:val="0"/>
          <w:sz w:val="28"/>
          <w:szCs w:val="28"/>
          <w:highlight w:val="none"/>
          <w:lang w:val="en-US" w:eastAsia="zh-CN"/>
        </w:rPr>
        <w:t>中国石油天然气股份有限公司呼和浩特石化分公司500万吨年炼油扩能改造项目放射源应用项目。在生产过程中需使用放射源铯-137制成的料位计和密度计来检测装置内物料。分别在15万吨聚丙烯装置安装11台料位计和2台密度计，生产厂家为美国OHHMART；在60万吨重整装置安装9台料位计,生产厂家为美国 Thermofisher。</w:t>
      </w:r>
    </w:p>
    <w:p>
      <w:pPr>
        <w:pStyle w:val="5"/>
        <w:bidi w:val="0"/>
        <w:rPr>
          <w:rFonts w:hint="eastAsia" w:ascii="仿宋" w:hAnsi="仿宋" w:eastAsia="仿宋" w:cs="仿宋"/>
          <w:sz w:val="28"/>
          <w:szCs w:val="28"/>
          <w:highlight w:val="none"/>
        </w:rPr>
      </w:pPr>
      <w:bookmarkStart w:id="26" w:name="_Toc25756"/>
      <w:r>
        <w:rPr>
          <w:rFonts w:hint="eastAsia" w:ascii="仿宋" w:hAnsi="仿宋" w:eastAsia="仿宋" w:cs="仿宋"/>
          <w:sz w:val="28"/>
          <w:szCs w:val="28"/>
          <w:highlight w:val="none"/>
          <w:lang w:val="en-US" w:eastAsia="zh-CN"/>
        </w:rPr>
        <w:t>4.4</w:t>
      </w:r>
      <w:r>
        <w:rPr>
          <w:rFonts w:hint="eastAsia" w:ascii="仿宋" w:hAnsi="仿宋" w:eastAsia="仿宋" w:cs="仿宋"/>
          <w:sz w:val="28"/>
          <w:szCs w:val="28"/>
          <w:highlight w:val="none"/>
        </w:rPr>
        <w:t>场所辐射环境监测和个人剂量监测情况</w:t>
      </w:r>
      <w:bookmarkEnd w:id="25"/>
      <w:bookmarkEnd w:id="26"/>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2017年8月内蒙古自治区环境监测中心站编制完成《建设项目竣工环境保护验收监测报告》（内环站字YS[2017]第002号）可知：</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中国石油天然气股份有限公司呼和浩特石化分公司15万吨聚丙烯装置上安装的13枚含放射源中10枚放射源（US11CS009775、US11CS009834、US11CS009745、US11CS009755、US11CS009814、US11CS009785、US11CS009765、 US11CS009795、US11CS009805、US11CS009824）距源容器表面5cm处、1m处的γ辐射空气吸收剂量率均满足《含密封源仪表的放射卫生防护要求》（GBZ125-2009）在距源容器表面外1m的区域内很少有人停留的要求；3枚放射源（US11CS009854、US11CS009864、US11CS009844）距源容器表面5cm处、1m处的γ辐射空气吸收剂量率均满足《含密封源仪表的放射卫生防护要求》（GBZ125-2009）在距源容器外表面3m的区域内不可能有人进入或放射工作场所设置了监督区。</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60万吨重整装置上安装的9枚放射源（US12CS002995、US12CS003005、US12CS003015、US12CS003025、US12CS003035、US12CS003045、US12CS003055、US12CS003065、US12CS003075）距源容器表面5cm处、1m处的γ辐射空气吸收剂量率均满足《含密封源仪表的放射卫生防护要求》（GBZ125-2009）在距源容器表面外 1m 的区域内很少有人停留的要求。</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2022年、2023年、2024年辐射场所环境检测情况：</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2022年：内蒙古金辰检测技术有限公司出具的检测报告（编号MJC-JC/22-029）检测结果显示：第三联合车问距源容器表面5cm处的周围剂量当量率在(0.074~7.00)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Sv/h之间，距源容器表面1m处的周围剂量当量率在(0.057~0.86)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Sv/h之间;距接收器表面5cm处的周围剂量当量率在(0.065~3.33)</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Sv/h之间，距接收器表面1m处的周围剂量当量率在(0.062~2.39)</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Sv/h之间。第炼油二部距源容器表面5cm处的周围剂量当量率在(0,148~4.32)</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Sv/h之间，距源容器表面1m处的周围剂量当量率在(0.061~0.30)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 之间;距接收器表面5cm处的周围剂量当量率在(0.101~0.60)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Sv/h之间;距接收器表面5cm处的周围剂量当量率在(0.101~0.60)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Sv/h之间，距接收器表面1m处的周围剂量当量率为(0.092~0.54)</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Sv/h之间;环境本底的周围剂量当量率在(0.081~0.103)</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Sv/h之间。检测结果详见表2。</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2023年：内蒙古金辰检测技术有限公司出具的检测报告（编号MJC-JC/23-017）检测结果显示：第三联合车问距源容器侧表面5cm处的周围剂量当量率在(0.123~6.8)</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 之间，距源容器侧表面1m处的周围剂量当量率在(0.094~0.26)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 5cm 处的周围剂量当量率在(0.078~3.3)</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 1m处的周圆剂量当量率在(0.073~2.00)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Sv/h之间。第炼油二部距源容器侧表面 5cm处的周围剂量当量率在(0.264~2.8)</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Sv/h之间,距源容器侧表面1m处的周围剂量当量率在(0.079~0.22)</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Sv/h之间:距接收器侧表面5cm处的周围剂量当量率在(0.063~2.12)μSv/h 之间，距接收器侧表面1m处的周围剂量当量率为(0.057~0.246)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Sv/h之间:环境本底的周围剂量当量率在(0.073~0.078)</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2024年：内蒙古金辰检测技术有限公司出具的检测报告（编号MJC-JC/24-016）显示检测结果显示：炼油三部距源容器侧表面5cm处的周围剂量当量率在(0.109~17.4)</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Sv/h之间，距源容器侧表面1m处的周围剂量当量率在(0.082~0.53)μSv/h之间:距接收器侧表面5cm处的周围剂量当量率在(0.094~3.9)</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Sv/h之间,距接收器侧表面1m处的周围剂量当量率在(0.077~1.96)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Sv/h之间。炼油二部距源容器侧表面5cm 处的周围剂量当量率在(0.182~5.3)</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Sv/h之间，距源容器侧表面1m处的周围剂量当量率在(0.075~0.215)</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Sv/h之间;距接收器侧表面5cm处的周围剂量当量率在(0.076~0.81)</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Sv/h之间，距接收器侧表面1m处的周围剂量当量率为(0.075~0.196)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Sv/h之间;环境本底的周围剂量当量率在(0.074~0.079)</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内蒙古伟泽职业卫生技术服务有限公司出具的2022年度、2023年度、2024年度个人剂量监测报告显示：接触辐射工作人员每季度一次，全年四次的个人剂量监测。从监测结果来看，所有人员职业性外照射个人剂量均未超过《电离辐射防护与辐射源安全基本标准》(GB18871-2002)中放射工作人员年有效剂量限制。</w:t>
      </w:r>
    </w:p>
    <w:p>
      <w:pPr>
        <w:jc w:val="center"/>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snapToGrid w:val="0"/>
          <w:color w:val="auto"/>
          <w:kern w:val="0"/>
          <w:sz w:val="24"/>
          <w:szCs w:val="21"/>
          <w:highlight w:val="none"/>
          <w:lang w:val="en-US" w:eastAsia="zh-CN"/>
        </w:rPr>
        <w:br w:type="page"/>
      </w:r>
    </w:p>
    <w:p>
      <w:pPr>
        <w:pStyle w:val="4"/>
        <w:bidi w:val="0"/>
        <w:jc w:val="center"/>
        <w:rPr>
          <w:rFonts w:hint="eastAsia" w:ascii="仿宋" w:hAnsi="仿宋" w:eastAsia="仿宋" w:cs="仿宋"/>
          <w:highlight w:val="none"/>
        </w:rPr>
      </w:pPr>
      <w:bookmarkStart w:id="27" w:name="_Toc22520"/>
      <w:bookmarkStart w:id="28" w:name="_Toc17386"/>
      <w:r>
        <w:rPr>
          <w:rFonts w:hint="eastAsia" w:ascii="仿宋" w:hAnsi="仿宋" w:eastAsia="仿宋" w:cs="仿宋"/>
          <w:highlight w:val="none"/>
          <w:lang w:val="en-US" w:eastAsia="zh-CN"/>
        </w:rPr>
        <w:t>五、</w:t>
      </w:r>
      <w:r>
        <w:rPr>
          <w:rFonts w:hint="eastAsia" w:ascii="仿宋" w:hAnsi="仿宋" w:eastAsia="仿宋" w:cs="仿宋"/>
          <w:highlight w:val="none"/>
        </w:rPr>
        <w:t>事故风险分析</w:t>
      </w:r>
      <w:bookmarkEnd w:id="27"/>
      <w:bookmarkEnd w:id="28"/>
    </w:p>
    <w:p>
      <w:pPr>
        <w:pStyle w:val="5"/>
        <w:bidi w:val="0"/>
        <w:rPr>
          <w:rFonts w:hint="eastAsia" w:ascii="仿宋" w:hAnsi="仿宋" w:eastAsia="仿宋" w:cs="仿宋"/>
          <w:sz w:val="28"/>
          <w:szCs w:val="28"/>
          <w:highlight w:val="none"/>
        </w:rPr>
      </w:pPr>
      <w:bookmarkStart w:id="29" w:name="_Toc24838"/>
      <w:bookmarkStart w:id="30" w:name="_Toc18109"/>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.1事故类型与危害分析</w:t>
      </w:r>
      <w:bookmarkEnd w:id="29"/>
      <w:bookmarkEnd w:id="30"/>
    </w:p>
    <w:p>
      <w:pPr>
        <w:pStyle w:val="6"/>
        <w:bidi w:val="0"/>
        <w:rPr>
          <w:rFonts w:hint="eastAsia" w:ascii="仿宋" w:hAnsi="仿宋" w:eastAsia="仿宋" w:cs="仿宋"/>
          <w:sz w:val="28"/>
          <w:szCs w:val="28"/>
          <w:highlight w:val="none"/>
        </w:rPr>
      </w:pPr>
      <w:bookmarkStart w:id="31" w:name="_Toc17534"/>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.1.1危险有害物质</w:t>
      </w:r>
      <w:bookmarkEnd w:id="31"/>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32" w:name="_Toc15133"/>
      <w:r>
        <w:rPr>
          <w:rFonts w:hint="eastAsia" w:ascii="仿宋" w:hAnsi="仿宋" w:eastAsia="仿宋" w:cs="仿宋"/>
          <w:color w:val="auto"/>
          <w:sz w:val="28"/>
          <w:szCs w:val="28"/>
          <w:highlight w:val="none"/>
          <w:lang w:val="en-US" w:eastAsia="zh-CN"/>
        </w:rPr>
        <w:t>根据放射源对人体健康和环境的潜在危害程度，从高到低将放射源分为Ⅰ类、Ⅱ类、Ⅲ类、Ⅳ类、Ⅴ类。 Ⅰ类放射源为极高危险源，没有防护情况下，接触这类源几分钟到1小时就可致人死亡。 Ⅱ类放射源为高危险源，没有防护情况下，接触这类源几小时至几天可致人死亡。 Ⅲ类放射源为危险源，没有防护情况下，接触这类源几小时就可对人造成永久性损伤，接触几天至几周也可致人死亡。 Ⅳ类放射源为低危险源，基本不会对人造成永久性损伤，但对长时间、近距离接触这些放射源的人可能造成可恢复的临时性损伤。 Ⅴ类放射源为极低危险源，不会对人造成永久性损伤。</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中国石油呼和浩特石化公司有22台放射性仪表，包括20台连续式放射性料位计和2台放射性密度计，其中9台设置在第炼油二部60万吨/年连续重整装置，13台设置在第炼油三部15万吨/年聚丙烯装置。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中国石油呼和浩特石化公司放射性危害主要是在连续重整装置和聚丙烯装置安装和维护22台放射性仪表过程中产生的γ射线对维修人员产生放射以及发生事故后放射源裸露在环境中，对环境产生放射性污染。</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.1.2危险有害因素分析</w:t>
      </w:r>
      <w:bookmarkEnd w:id="3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33" w:name="_Toc23896"/>
      <w:r>
        <w:rPr>
          <w:rFonts w:hint="eastAsia" w:ascii="仿宋" w:hAnsi="仿宋" w:eastAsia="仿宋" w:cs="仿宋"/>
          <w:color w:val="auto"/>
          <w:sz w:val="28"/>
          <w:szCs w:val="28"/>
          <w:highlight w:val="none"/>
          <w:lang w:val="en-US" w:eastAsia="zh-CN"/>
        </w:rPr>
        <w:t>在日常生产情况下，22台放射性仪表均固定在工作场所，远程操作，并将检测信息自动传输至控制室，日常巡检人员受照剂量能够满足国家标准规定的限值要求。除巡检人员外，放射性仪表周围区域很少有人经过或停留，其产生的放射性危害因素不会对公众及其他工作人员造成危害。</w:t>
      </w:r>
    </w:p>
    <w:p>
      <w:pPr>
        <w:pageBreakBefore w:val="0"/>
        <w:kinsoku/>
        <w:wordWrap/>
        <w:overflowPunct/>
        <w:topLinePunct w:val="0"/>
        <w:autoSpaceDE w:val="0"/>
        <w:autoSpaceDN w:val="0"/>
        <w:bidi w:val="0"/>
        <w:adjustRightInd w:val="0"/>
        <w:spacing w:line="360" w:lineRule="auto"/>
        <w:jc w:val="left"/>
        <w:rPr>
          <w:rFonts w:hint="eastAsia" w:ascii="仿宋" w:hAnsi="仿宋" w:eastAsia="仿宋" w:cs="仿宋"/>
          <w:color w:val="auto"/>
          <w:sz w:val="28"/>
          <w:szCs w:val="28"/>
          <w:highlight w:val="none"/>
          <w:lang w:val="en-US" w:eastAsia="zh-CN"/>
        </w:rPr>
      </w:pPr>
      <w:r>
        <w:rPr>
          <w:rFonts w:hint="eastAsia" w:ascii="仿宋" w:hAnsi="仿宋" w:eastAsia="仿宋" w:cs="仿宋"/>
          <w:b/>
          <w:bCs/>
          <w:kern w:val="2"/>
          <w:sz w:val="28"/>
          <w:szCs w:val="28"/>
          <w:highlight w:val="none"/>
          <w:lang w:val="en-US" w:eastAsia="zh-CN" w:bidi="ar-SA"/>
        </w:rPr>
        <w:t>5.2.事故分级</w:t>
      </w:r>
      <w:r>
        <w:rPr>
          <w:rFonts w:hint="eastAsia" w:ascii="仿宋" w:hAnsi="仿宋" w:eastAsia="仿宋" w:cs="仿宋"/>
          <w:sz w:val="24"/>
          <w:highlight w:val="none"/>
        </w:rPr>
        <w:br w:type="textWrapping"/>
      </w:r>
      <w:r>
        <w:rPr>
          <w:rFonts w:hint="eastAsia" w:ascii="仿宋" w:hAnsi="仿宋" w:eastAsia="仿宋" w:cs="仿宋"/>
          <w:sz w:val="24"/>
          <w:highlight w:val="none"/>
        </w:rPr>
        <w:t>  </w:t>
      </w:r>
      <w:r>
        <w:rPr>
          <w:rFonts w:hint="eastAsia" w:ascii="仿宋" w:hAnsi="仿宋" w:eastAsia="仿宋" w:cs="仿宋"/>
          <w:sz w:val="24"/>
          <w:highlight w:val="none"/>
          <w:lang w:val="en-US" w:eastAsia="zh-CN"/>
        </w:rPr>
        <w:t xml:space="preserve">    </w:t>
      </w:r>
      <w:r>
        <w:rPr>
          <w:rFonts w:hint="eastAsia" w:ascii="仿宋" w:hAnsi="仿宋" w:eastAsia="仿宋" w:cs="仿宋"/>
          <w:color w:val="auto"/>
          <w:sz w:val="28"/>
          <w:szCs w:val="28"/>
          <w:highlight w:val="none"/>
          <w:lang w:val="en-US" w:eastAsia="zh-CN"/>
        </w:rPr>
        <w:t>公司有</w:t>
      </w:r>
      <w:r>
        <w:rPr>
          <w:rFonts w:hint="eastAsia" w:ascii="仿宋" w:hAnsi="仿宋" w:eastAsia="仿宋" w:cs="仿宋"/>
          <w:snapToGrid w:val="0"/>
          <w:color w:val="auto"/>
          <w:kern w:val="0"/>
          <w:sz w:val="28"/>
          <w:szCs w:val="28"/>
          <w:highlight w:val="none"/>
          <w:lang w:val="en-US" w:eastAsia="zh-CN"/>
        </w:rPr>
        <w:t>6枚为Ⅳ类放射源，16枚为Ⅴ类放射源</w:t>
      </w:r>
      <w:r>
        <w:rPr>
          <w:rFonts w:hint="eastAsia" w:ascii="仿宋" w:hAnsi="仿宋" w:eastAsia="仿宋" w:cs="仿宋"/>
          <w:color w:val="auto"/>
          <w:sz w:val="28"/>
          <w:szCs w:val="28"/>
          <w:highlight w:val="none"/>
          <w:lang w:val="en-US" w:eastAsia="zh-CN"/>
        </w:rPr>
        <w:t>，可能发生放射源泄漏、被盗、丢失、失控导致人员受到超过年剂量限值的照射为一般事故。</w:t>
      </w:r>
    </w:p>
    <w:p>
      <w:pPr>
        <w:pStyle w:val="5"/>
        <w:bidi w:val="0"/>
        <w:rPr>
          <w:rFonts w:hint="eastAsia" w:ascii="仿宋" w:hAnsi="仿宋" w:eastAsia="仿宋" w:cs="仿宋"/>
          <w:sz w:val="28"/>
          <w:szCs w:val="28"/>
          <w:highlight w:val="none"/>
        </w:rPr>
      </w:pPr>
      <w:bookmarkStart w:id="34" w:name="_Toc25474"/>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3</w:t>
      </w:r>
      <w:r>
        <w:rPr>
          <w:rFonts w:hint="eastAsia" w:ascii="仿宋" w:hAnsi="仿宋" w:eastAsia="仿宋" w:cs="仿宋"/>
          <w:sz w:val="28"/>
          <w:szCs w:val="28"/>
          <w:highlight w:val="none"/>
        </w:rPr>
        <w:t>应急指挥机构及职责</w:t>
      </w:r>
      <w:bookmarkEnd w:id="33"/>
      <w:bookmarkEnd w:id="34"/>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放射源事故应急组织机构由依托于中国石油天然气股份有限公司呼和浩特石化分公司突发环境事件应急预案指挥机构。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公司成立应急领导小组。由组长、副组长和应急领导小组办公室下设的7个应急小组组成。公司执行董事、党委书记；总经理、党委副书记为组长，公司副总经理为副组长，各部室负责人及其他环保人员为指挥部成员，负责现场指挥和相关救援工作。</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组长：刘振宏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副组长：胡晓荣、高耀廷、刘树青、王海波、贺 健、杨志和、郑盛</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应急领导小组办公室主任：胡晓荣</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领导小组职责：组织制定环境污染应急处理预案，统一安排、组织应急预案的实施。下达公司应急预案启动及关闭的命令，同时负责事故抢险救援指挥工作，根据抢险救援需要合理配置人、财、物资源，积极组织抢险救援工作，防止事故扩大。核实遇险、遇难人员，汇报和通报事故有关情况，向上级救援机构发出救援请求。随时和事故现场指挥人员保持联系，发布救援指令。宣布现场抢险工作结束，制定恢复生产安全措施。做好稳定社会秩序、伤亡人员的善后和安抚工作。接受上级有关部门的指导，配合有关部门进行事故调查处理工作。</w:t>
      </w:r>
    </w:p>
    <w:p>
      <w:pPr>
        <w:pageBreakBefore w:val="0"/>
        <w:kinsoku/>
        <w:wordWrap/>
        <w:overflowPunct/>
        <w:topLinePunct w:val="0"/>
        <w:autoSpaceDE w:val="0"/>
        <w:autoSpaceDN w:val="0"/>
        <w:bidi w:val="0"/>
        <w:adjustRightInd w:val="0"/>
        <w:spacing w:line="360" w:lineRule="auto"/>
        <w:ind w:left="0" w:leftChars="0" w:firstLine="0" w:firstLineChars="0"/>
        <w:jc w:val="center"/>
        <w:rPr>
          <w:rFonts w:hint="eastAsia" w:ascii="仿宋" w:hAnsi="仿宋" w:eastAsia="仿宋" w:cs="仿宋"/>
          <w:sz w:val="24"/>
          <w:szCs w:val="40"/>
          <w:highlight w:val="none"/>
          <w:lang w:val="en-US" w:eastAsia="zh-CN"/>
        </w:rPr>
      </w:pPr>
      <w:r>
        <w:rPr>
          <w:rFonts w:hint="eastAsia" w:ascii="仿宋" w:hAnsi="仿宋" w:eastAsia="仿宋" w:cs="仿宋"/>
          <w:color w:val="auto"/>
          <w:sz w:val="28"/>
          <w:szCs w:val="28"/>
          <w:highlight w:val="none"/>
          <w:lang w:val="en-US" w:eastAsia="zh-CN"/>
        </w:rPr>
        <w:drawing>
          <wp:inline distT="0" distB="0" distL="114300" distR="114300">
            <wp:extent cx="5748655" cy="4175760"/>
            <wp:effectExtent l="0" t="0" r="12065" b="0"/>
            <wp:docPr id="48" name="图片 48" descr="组织机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组织机构图"/>
                    <pic:cNvPicPr>
                      <a:picLocks noChangeAspect="1"/>
                    </pic:cNvPicPr>
                  </pic:nvPicPr>
                  <pic:blipFill>
                    <a:blip r:embed="rId39"/>
                    <a:stretch>
                      <a:fillRect/>
                    </a:stretch>
                  </pic:blipFill>
                  <pic:spPr>
                    <a:xfrm>
                      <a:off x="0" y="0"/>
                      <a:ext cx="5748655" cy="4175760"/>
                    </a:xfrm>
                    <a:prstGeom prst="rect">
                      <a:avLst/>
                    </a:prstGeom>
                  </pic:spPr>
                </pic:pic>
              </a:graphicData>
            </a:graphic>
          </wp:inline>
        </w:drawing>
      </w:r>
    </w:p>
    <w:p>
      <w:pPr>
        <w:pageBreakBefore w:val="0"/>
        <w:kinsoku/>
        <w:wordWrap/>
        <w:overflowPunct/>
        <w:topLinePunct w:val="0"/>
        <w:autoSpaceDE w:val="0"/>
        <w:autoSpaceDN w:val="0"/>
        <w:bidi w:val="0"/>
        <w:adjustRightInd w:val="0"/>
        <w:spacing w:line="360" w:lineRule="auto"/>
        <w:ind w:left="0" w:leftChars="0" w:firstLine="0" w:firstLineChars="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drawing>
          <wp:inline distT="0" distB="0" distL="114300" distR="114300">
            <wp:extent cx="5751195" cy="4260215"/>
            <wp:effectExtent l="0" t="0" r="9525" b="6985"/>
            <wp:docPr id="120" name="图片 120" descr="放射源管理机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放射源管理机构"/>
                    <pic:cNvPicPr>
                      <a:picLocks noChangeAspect="1"/>
                    </pic:cNvPicPr>
                  </pic:nvPicPr>
                  <pic:blipFill>
                    <a:blip r:embed="rId40"/>
                    <a:stretch>
                      <a:fillRect/>
                    </a:stretch>
                  </pic:blipFill>
                  <pic:spPr>
                    <a:xfrm>
                      <a:off x="0" y="0"/>
                      <a:ext cx="5751195" cy="4260215"/>
                    </a:xfrm>
                    <a:prstGeom prst="rect">
                      <a:avLst/>
                    </a:prstGeom>
                  </pic:spPr>
                </pic:pic>
              </a:graphicData>
            </a:graphic>
          </wp:inline>
        </w:drawing>
      </w:r>
    </w:p>
    <w:p>
      <w:pPr>
        <w:pageBreakBefore w:val="0"/>
        <w:kinsoku/>
        <w:wordWrap/>
        <w:overflowPunct/>
        <w:topLinePunct w:val="0"/>
        <w:autoSpaceDE w:val="0"/>
        <w:autoSpaceDN w:val="0"/>
        <w:bidi w:val="0"/>
        <w:adjustRightInd w:val="0"/>
        <w:spacing w:line="360" w:lineRule="auto"/>
        <w:ind w:left="0" w:leftChars="0" w:firstLine="0" w:firstLineChars="0"/>
        <w:jc w:val="center"/>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全国和核技术利用辐射安全申报系统-辐射安全管理机构</w:t>
      </w:r>
    </w:p>
    <w:p>
      <w:pPr>
        <w:pageBreakBefore w:val="0"/>
        <w:kinsoku/>
        <w:wordWrap/>
        <w:overflowPunct/>
        <w:topLinePunct w:val="0"/>
        <w:autoSpaceDE w:val="0"/>
        <w:autoSpaceDN w:val="0"/>
        <w:bidi w:val="0"/>
        <w:adjustRightInd w:val="0"/>
        <w:spacing w:line="360" w:lineRule="auto"/>
        <w:ind w:left="0" w:leftChars="0" w:firstLine="0" w:firstLineChars="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应急组织机构如下：</w:t>
      </w:r>
    </w:p>
    <w:p>
      <w:pPr>
        <w:pageBreakBefore w:val="0"/>
        <w:kinsoku/>
        <w:wordWrap/>
        <w:overflowPunct/>
        <w:topLinePunct w:val="0"/>
        <w:autoSpaceDE w:val="0"/>
        <w:autoSpaceDN w:val="0"/>
        <w:bidi w:val="0"/>
        <w:adjustRightInd w:val="0"/>
        <w:spacing w:line="360" w:lineRule="auto"/>
        <w:ind w:left="0" w:leftChars="0" w:firstLine="0" w:firstLineChars="0"/>
        <w:jc w:val="center"/>
        <w:rPr>
          <w:rFonts w:hint="eastAsia" w:ascii="仿宋" w:hAnsi="仿宋" w:eastAsia="仿宋" w:cs="仿宋"/>
          <w:highlight w:val="none"/>
        </w:rPr>
      </w:pPr>
    </w:p>
    <w:p>
      <w:pPr>
        <w:pageBreakBefore w:val="0"/>
        <w:kinsoku/>
        <w:wordWrap/>
        <w:overflowPunct/>
        <w:topLinePunct w:val="0"/>
        <w:autoSpaceDE w:val="0"/>
        <w:autoSpaceDN w:val="0"/>
        <w:bidi w:val="0"/>
        <w:adjustRightInd w:val="0"/>
        <w:spacing w:line="360" w:lineRule="auto"/>
        <w:ind w:left="0" w:leftChars="0" w:firstLine="0" w:firstLineChars="0"/>
        <w:jc w:val="center"/>
        <w:rPr>
          <w:rFonts w:hint="eastAsia" w:ascii="仿宋" w:hAnsi="仿宋" w:eastAsia="仿宋" w:cs="仿宋"/>
          <w:color w:val="auto"/>
          <w:sz w:val="28"/>
          <w:szCs w:val="28"/>
          <w:highlight w:val="none"/>
          <w:lang w:val="en-US" w:eastAsia="zh-CN"/>
        </w:rPr>
      </w:pPr>
      <w:r>
        <w:rPr>
          <w:rFonts w:hint="eastAsia" w:ascii="仿宋" w:hAnsi="仿宋" w:eastAsia="仿宋" w:cs="仿宋"/>
          <w:highlight w:val="none"/>
        </w:rPr>
        <w:drawing>
          <wp:inline distT="0" distB="0" distL="114300" distR="114300">
            <wp:extent cx="4741545" cy="3400425"/>
            <wp:effectExtent l="0" t="0" r="13335" b="13335"/>
            <wp:docPr id="9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6"/>
                    <pic:cNvPicPr>
                      <a:picLocks noChangeAspect="1"/>
                    </pic:cNvPicPr>
                  </pic:nvPicPr>
                  <pic:blipFill>
                    <a:blip r:embed="rId41"/>
                    <a:stretch>
                      <a:fillRect/>
                    </a:stretch>
                  </pic:blipFill>
                  <pic:spPr>
                    <a:xfrm>
                      <a:off x="0" y="0"/>
                      <a:ext cx="4741545" cy="3400425"/>
                    </a:xfrm>
                    <a:prstGeom prst="rect">
                      <a:avLst/>
                    </a:prstGeom>
                    <a:noFill/>
                    <a:ln>
                      <a:noFill/>
                    </a:ln>
                  </pic:spPr>
                </pic:pic>
              </a:graphicData>
            </a:graphic>
          </wp:inline>
        </w:drawing>
      </w:r>
    </w:p>
    <w:p>
      <w:pPr>
        <w:ind w:left="0" w:leftChars="0" w:firstLine="0" w:firstLineChars="0"/>
        <w:jc w:val="center"/>
        <w:rPr>
          <w:rFonts w:hint="eastAsia" w:ascii="仿宋" w:hAnsi="仿宋" w:eastAsia="仿宋" w:cs="仿宋"/>
          <w:b/>
          <w:sz w:val="28"/>
          <w:szCs w:val="28"/>
          <w:highlight w:val="none"/>
        </w:rPr>
      </w:pPr>
      <w:r>
        <w:rPr>
          <w:rFonts w:hint="eastAsia" w:ascii="仿宋" w:hAnsi="仿宋" w:eastAsia="仿宋" w:cs="仿宋"/>
          <w:b/>
          <w:sz w:val="28"/>
          <w:szCs w:val="28"/>
          <w:highlight w:val="none"/>
        </w:rPr>
        <w:t>应急</w:t>
      </w:r>
      <w:r>
        <w:rPr>
          <w:rFonts w:hint="eastAsia" w:ascii="仿宋" w:hAnsi="仿宋" w:eastAsia="仿宋" w:cs="仿宋"/>
          <w:b/>
          <w:sz w:val="28"/>
          <w:szCs w:val="28"/>
          <w:highlight w:val="none"/>
          <w:lang w:val="en-US" w:eastAsia="zh-CN"/>
        </w:rPr>
        <w:t>组织</w:t>
      </w:r>
      <w:r>
        <w:rPr>
          <w:rFonts w:hint="eastAsia" w:ascii="仿宋" w:hAnsi="仿宋" w:eastAsia="仿宋" w:cs="仿宋"/>
          <w:b/>
          <w:sz w:val="28"/>
          <w:szCs w:val="28"/>
          <w:highlight w:val="none"/>
        </w:rPr>
        <w:t>机构图</w:t>
      </w:r>
    </w:p>
    <w:p>
      <w:pPr>
        <w:jc w:val="center"/>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021580" cy="4142105"/>
            <wp:effectExtent l="0" t="0" r="7620" b="3175"/>
            <wp:docPr id="9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5"/>
                    <pic:cNvPicPr>
                      <a:picLocks noChangeAspect="1"/>
                    </pic:cNvPicPr>
                  </pic:nvPicPr>
                  <pic:blipFill>
                    <a:blip r:embed="rId42"/>
                    <a:srcRect t="1096"/>
                    <a:stretch>
                      <a:fillRect/>
                    </a:stretch>
                  </pic:blipFill>
                  <pic:spPr>
                    <a:xfrm>
                      <a:off x="0" y="0"/>
                      <a:ext cx="5021580" cy="4142105"/>
                    </a:xfrm>
                    <a:prstGeom prst="rect">
                      <a:avLst/>
                    </a:prstGeom>
                    <a:noFill/>
                    <a:ln>
                      <a:noFill/>
                    </a:ln>
                  </pic:spPr>
                </pic:pic>
              </a:graphicData>
            </a:graphic>
          </wp:inline>
        </w:drawing>
      </w:r>
    </w:p>
    <w:p>
      <w:pPr>
        <w:ind w:left="-1" w:leftChars="0" w:firstLine="0" w:firstLineChars="0"/>
        <w:jc w:val="center"/>
        <w:rPr>
          <w:rFonts w:hint="eastAsia" w:ascii="仿宋" w:hAnsi="仿宋" w:eastAsia="仿宋" w:cs="仿宋"/>
          <w:b/>
          <w:sz w:val="28"/>
          <w:szCs w:val="28"/>
          <w:highlight w:val="none"/>
        </w:rPr>
      </w:pPr>
      <w:r>
        <w:rPr>
          <w:rFonts w:hint="eastAsia" w:ascii="仿宋" w:hAnsi="仿宋" w:eastAsia="仿宋" w:cs="仿宋"/>
          <w:b/>
          <w:sz w:val="28"/>
          <w:szCs w:val="28"/>
          <w:highlight w:val="none"/>
        </w:rPr>
        <w:t>辐射事故应急组织结构图</w:t>
      </w:r>
    </w:p>
    <w:p>
      <w:pPr>
        <w:keepNext w:val="0"/>
        <w:keepLines w:val="0"/>
        <w:pageBreakBefore w:val="0"/>
        <w:widowControl w:val="0"/>
        <w:kinsoku/>
        <w:wordWrap/>
        <w:overflowPunct/>
        <w:topLinePunct w:val="0"/>
        <w:autoSpaceDE/>
        <w:autoSpaceDN/>
        <w:bidi w:val="0"/>
        <w:adjustRightInd/>
        <w:snapToGrid/>
        <w:spacing w:line="500" w:lineRule="exact"/>
        <w:ind w:left="0" w:firstLine="422" w:firstLineChars="200"/>
        <w:jc w:val="center"/>
        <w:textAlignment w:val="auto"/>
        <w:rPr>
          <w:rFonts w:hint="eastAsia" w:ascii="仿宋" w:hAnsi="仿宋" w:eastAsia="仿宋" w:cs="仿宋"/>
          <w:b/>
          <w:bCs/>
          <w:sz w:val="21"/>
          <w:szCs w:val="21"/>
          <w:highlight w:val="none"/>
        </w:rPr>
      </w:pPr>
      <w:r>
        <w:rPr>
          <w:rFonts w:hint="eastAsia" w:ascii="仿宋" w:hAnsi="仿宋" w:eastAsia="仿宋" w:cs="仿宋"/>
          <w:b/>
          <w:bCs/>
          <w:sz w:val="21"/>
          <w:szCs w:val="21"/>
          <w:highlight w:val="none"/>
        </w:rPr>
        <w:t>表</w:t>
      </w:r>
      <w:r>
        <w:rPr>
          <w:rFonts w:hint="eastAsia" w:ascii="仿宋" w:hAnsi="仿宋" w:eastAsia="仿宋" w:cs="仿宋"/>
          <w:b/>
          <w:bCs/>
          <w:sz w:val="21"/>
          <w:szCs w:val="21"/>
          <w:highlight w:val="none"/>
          <w:lang w:val="en-US" w:eastAsia="zh-CN"/>
        </w:rPr>
        <w:t>5.2-1</w:t>
      </w:r>
      <w:r>
        <w:rPr>
          <w:rFonts w:hint="eastAsia" w:ascii="仿宋" w:hAnsi="仿宋" w:eastAsia="仿宋" w:cs="仿宋"/>
          <w:b/>
          <w:bCs/>
          <w:sz w:val="21"/>
          <w:szCs w:val="21"/>
          <w:highlight w:val="none"/>
        </w:rPr>
        <w:t xml:space="preserve"> 应急领导小组内部主要成员联络表</w:t>
      </w:r>
    </w:p>
    <w:tbl>
      <w:tblPr>
        <w:tblStyle w:val="1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859"/>
        <w:gridCol w:w="1302"/>
        <w:gridCol w:w="2647"/>
        <w:gridCol w:w="1055"/>
        <w:gridCol w:w="1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bookmarkStart w:id="35" w:name="_Toc18214"/>
            <w:bookmarkStart w:id="36" w:name="_Toc2271"/>
            <w:r>
              <w:rPr>
                <w:rFonts w:ascii="Times New Roman" w:hAnsi="Times New Roman" w:eastAsia="宋体" w:cs="Times New Roman"/>
                <w:bCs/>
                <w:sz w:val="21"/>
                <w:szCs w:val="21"/>
              </w:rPr>
              <w:t>应急部门</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职务</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姓名</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职务</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办公电话</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restar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应急领</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导小组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刘</w:t>
            </w:r>
            <w:r>
              <w:rPr>
                <w:rFonts w:hint="eastAsia" w:ascii="Times New Roman" w:hAnsi="Times New Roman" w:cs="Times New Roman"/>
                <w:bCs/>
                <w:sz w:val="21"/>
                <w:szCs w:val="21"/>
                <w:lang w:val="en-US" w:eastAsia="zh-CN"/>
              </w:rPr>
              <w:t>振宏</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执行董事、党委书记</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335100</w:t>
            </w:r>
            <w:r>
              <w:rPr>
                <w:rFonts w:hint="eastAsia" w:ascii="Times New Roman" w:hAnsi="Times New Roman" w:cs="Times New Roman"/>
                <w:bCs/>
                <w:sz w:val="21"/>
                <w:szCs w:val="21"/>
                <w:lang w:val="en-US" w:eastAsia="zh-CN"/>
              </w:rPr>
              <w:t>1</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w:t>
            </w:r>
            <w:r>
              <w:rPr>
                <w:rFonts w:hint="eastAsia" w:ascii="Times New Roman" w:hAnsi="Times New Roman" w:cs="Times New Roman"/>
                <w:bCs/>
                <w:sz w:val="21"/>
                <w:szCs w:val="21"/>
                <w:lang w:val="en-US" w:eastAsia="zh-CN"/>
              </w:rPr>
              <w:t>70</w:t>
            </w:r>
            <w:r>
              <w:rPr>
                <w:rFonts w:ascii="Times New Roman" w:hAnsi="Times New Roman" w:eastAsia="宋体" w:cs="Times New Roman"/>
                <w:bCs/>
                <w:sz w:val="21"/>
                <w:szCs w:val="21"/>
              </w:rPr>
              <w:t>471</w:t>
            </w:r>
            <w:r>
              <w:rPr>
                <w:rFonts w:hint="eastAsia" w:ascii="Times New Roman" w:hAnsi="Times New Roman" w:cs="Times New Roman"/>
                <w:bCs/>
                <w:sz w:val="21"/>
                <w:szCs w:val="21"/>
                <w:lang w:val="en-US" w:eastAsia="zh-CN"/>
              </w:rPr>
              <w:t>4467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胡晓荣</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总经理、党委副书记</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3351350</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15391169932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高耀廷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党委委员、副总经理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016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18995067616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刘树青</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党委委员、副总经理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311</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13836909808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王海波</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党委委员、纪委书记</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008</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13999283639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贺 健</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党委委员、总会计师</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816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18708457049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杨志和</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党委委员、副总经理、安全总监</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671</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17387996779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郑盛</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sz w:val="21"/>
                <w:szCs w:val="21"/>
              </w:rPr>
            </w:pPr>
            <w:r>
              <w:rPr>
                <w:rFonts w:ascii="Times New Roman" w:hAnsi="Times New Roman" w:eastAsia="宋体" w:cs="Times New Roman"/>
                <w:bCs/>
                <w:sz w:val="21"/>
                <w:szCs w:val="21"/>
              </w:rPr>
              <w:t>党委委员、副总经理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3351080</w:t>
            </w:r>
          </w:p>
        </w:tc>
        <w:tc>
          <w:tcPr>
            <w:tcW w:w="932" w:type="pct"/>
            <w:noWrap w:val="0"/>
            <w:vAlign w:val="center"/>
          </w:tcPr>
          <w:p>
            <w:pPr>
              <w:pStyle w:val="14"/>
              <w:spacing w:beforeAutospacing="0" w:afterAutospacing="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18500825619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王钢锋</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副总工程师</w:t>
            </w:r>
            <w:r>
              <w:rPr>
                <w:rFonts w:hint="eastAsia" w:ascii="Times New Roman" w:hAnsi="Times New Roman" w:cs="Times New Roman"/>
                <w:bCs/>
                <w:sz w:val="21"/>
                <w:szCs w:val="21"/>
                <w:lang w:eastAsia="zh-CN"/>
              </w:rPr>
              <w:t>、</w:t>
            </w:r>
            <w:r>
              <w:rPr>
                <w:rFonts w:hint="eastAsia" w:ascii="Times New Roman" w:hAnsi="Times New Roman" w:cs="Times New Roman"/>
                <w:bCs/>
                <w:sz w:val="21"/>
                <w:szCs w:val="21"/>
                <w:lang w:val="en-US" w:eastAsia="zh-CN"/>
              </w:rPr>
              <w:t>规划与科技信息部经理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3351409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18147162323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蒋 雨</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安全副总监</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3351196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13947122315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于成林</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副总工程师</w:t>
            </w:r>
            <w:r>
              <w:rPr>
                <w:rFonts w:hint="eastAsia" w:ascii="Times New Roman" w:hAnsi="Times New Roman" w:cs="Times New Roman"/>
                <w:bCs/>
                <w:sz w:val="21"/>
                <w:szCs w:val="21"/>
                <w:lang w:eastAsia="zh-CN"/>
              </w:rPr>
              <w:t>、</w:t>
            </w:r>
            <w:r>
              <w:rPr>
                <w:rFonts w:hint="eastAsia" w:ascii="Times New Roman" w:hAnsi="Times New Roman" w:cs="Times New Roman"/>
                <w:bCs/>
                <w:sz w:val="21"/>
                <w:szCs w:val="21"/>
                <w:lang w:val="en-US" w:eastAsia="zh-CN"/>
              </w:rPr>
              <w:t>生产运行部经理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3351108</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13804716761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highlight w:val="none"/>
              </w:rPr>
              <w:t>王建军</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highlight w:val="none"/>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3351039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13947102407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郭 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3351043</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13847107337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夏建平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3351599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13948190802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eastAsia="宋体" w:cs="Times New Roman"/>
                <w:bCs/>
                <w:sz w:val="21"/>
                <w:szCs w:val="21"/>
                <w:lang w:eastAsia="zh-CN"/>
              </w:rPr>
              <w:t>迟洪君</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lang w:val="en-US" w:eastAsia="zh-CN"/>
              </w:rPr>
              <w:t>办公室</w:t>
            </w:r>
            <w:r>
              <w:rPr>
                <w:rFonts w:hint="eastAsia" w:ascii="Times New Roman" w:hAnsi="Times New Roman" w:cs="Times New Roman"/>
                <w:bCs/>
                <w:sz w:val="21"/>
                <w:szCs w:val="21"/>
                <w:lang w:val="en-US" w:eastAsia="zh-CN"/>
              </w:rPr>
              <w:t>副</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3351103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15184731696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cs="Times New Roman"/>
                <w:bCs/>
                <w:sz w:val="21"/>
                <w:szCs w:val="21"/>
                <w:lang w:val="en-US" w:eastAsia="zh-CN"/>
              </w:rPr>
              <w:t>陈源</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党委组织部副经理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049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13674830186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sz w:val="21"/>
                <w:szCs w:val="21"/>
                <w:highlight w:val="none"/>
                <w:lang w:val="en-US" w:eastAsia="zh-CN"/>
              </w:rPr>
              <w:t>王雪</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财务</w:t>
            </w:r>
            <w:r>
              <w:rPr>
                <w:rFonts w:hint="eastAsia" w:ascii="Times New Roman" w:hAnsi="Times New Roman" w:cs="Times New Roman"/>
                <w:bCs/>
                <w:sz w:val="21"/>
                <w:szCs w:val="21"/>
                <w:highlight w:val="none"/>
                <w:lang w:val="en-US" w:eastAsia="zh-CN"/>
              </w:rPr>
              <w:t>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786</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15848922895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古正龙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highlight w:val="none"/>
              </w:rPr>
              <w:t>企管法规</w:t>
            </w:r>
            <w:r>
              <w:rPr>
                <w:rFonts w:hint="eastAsia" w:ascii="Times New Roman" w:hAnsi="Times New Roman" w:cs="Times New Roman"/>
                <w:bCs/>
                <w:sz w:val="21"/>
                <w:szCs w:val="21"/>
                <w:highlight w:val="none"/>
                <w:lang w:val="en-US" w:eastAsia="zh-CN"/>
              </w:rPr>
              <w:t>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473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13</w:t>
            </w:r>
            <w:r>
              <w:rPr>
                <w:rFonts w:hint="eastAsia" w:ascii="Times New Roman" w:hAnsi="Times New Roman" w:cs="Times New Roman"/>
                <w:bCs/>
                <w:sz w:val="21"/>
                <w:szCs w:val="21"/>
                <w:lang w:val="en-US" w:eastAsia="zh-CN"/>
              </w:rPr>
              <w:t>739912597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杨立文</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eastAsia="宋体" w:cs="Times New Roman"/>
                <w:bCs/>
                <w:sz w:val="21"/>
                <w:szCs w:val="21"/>
              </w:rPr>
              <w:t>工会副主席、</w:t>
            </w:r>
            <w:r>
              <w:rPr>
                <w:rFonts w:ascii="Times New Roman" w:hAnsi="Times New Roman" w:eastAsia="宋体" w:cs="Times New Roman"/>
                <w:bCs/>
                <w:sz w:val="21"/>
                <w:szCs w:val="21"/>
              </w:rPr>
              <w:t>党群工作</w:t>
            </w:r>
            <w:r>
              <w:rPr>
                <w:rFonts w:hint="eastAsia" w:ascii="Times New Roman" w:hAnsi="Times New Roman" w:eastAsia="宋体" w:cs="Times New Roman"/>
                <w:bCs/>
                <w:sz w:val="21"/>
                <w:szCs w:val="21"/>
                <w:lang w:val="en-US" w:eastAsia="zh-CN"/>
              </w:rPr>
              <w:t>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246</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13354719799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田志广</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纪委副书记、</w:t>
            </w:r>
            <w:r>
              <w:rPr>
                <w:rFonts w:hint="eastAsia" w:ascii="Times New Roman" w:hAnsi="Times New Roman" w:cs="Times New Roman"/>
                <w:bCs/>
                <w:sz w:val="21"/>
                <w:szCs w:val="21"/>
                <w:lang w:val="en-US" w:eastAsia="zh-CN"/>
              </w:rPr>
              <w:t>纪委办公室</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3351037</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15203412388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张勇</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质量健康安全环保部经理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3351704</w:t>
            </w:r>
          </w:p>
        </w:tc>
        <w:tc>
          <w:tcPr>
            <w:tcW w:w="932" w:type="pct"/>
            <w:noWrap w:val="0"/>
            <w:vAlign w:val="center"/>
          </w:tcPr>
          <w:p>
            <w:pPr>
              <w:pStyle w:val="14"/>
              <w:spacing w:beforeAutospacing="0" w:afterAutospacing="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18941367420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sz w:val="21"/>
                <w:szCs w:val="21"/>
                <w:highlight w:val="none"/>
                <w:lang w:val="en-US" w:eastAsia="zh-CN"/>
              </w:rPr>
              <w:t>高文炳</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机动</w:t>
            </w:r>
            <w:r>
              <w:rPr>
                <w:rFonts w:hint="eastAsia" w:ascii="Times New Roman" w:hAnsi="Times New Roman" w:cs="Times New Roman"/>
                <w:bCs/>
                <w:sz w:val="21"/>
                <w:szCs w:val="21"/>
                <w:highlight w:val="none"/>
                <w:lang w:val="en-US" w:eastAsia="zh-CN"/>
              </w:rPr>
              <w:t>设备部经理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528</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13948433105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郭晓光</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物资采购部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059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18947915933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耿雄英</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营销调运部</w:t>
            </w:r>
            <w:r>
              <w:rPr>
                <w:rFonts w:hint="eastAsia" w:ascii="Times New Roman" w:hAnsi="Times New Roman" w:eastAsia="宋体" w:cs="Times New Roman"/>
                <w:bCs/>
                <w:sz w:val="21"/>
                <w:szCs w:val="21"/>
                <w:highlight w:val="none"/>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13948100575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刘文龙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highlight w:val="none"/>
                <w:lang w:val="en-US" w:eastAsia="zh-CN"/>
              </w:rPr>
              <w:t>工程管理部副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460</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13664743042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耿雄英</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营销调运部</w:t>
            </w:r>
            <w:r>
              <w:rPr>
                <w:rFonts w:hint="eastAsia" w:ascii="Times New Roman" w:hAnsi="Times New Roman" w:eastAsia="宋体" w:cs="Times New Roman"/>
                <w:bCs/>
                <w:sz w:val="21"/>
                <w:szCs w:val="21"/>
                <w:highlight w:val="none"/>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13948100575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刘文龙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highlight w:val="none"/>
                <w:lang w:val="en-US" w:eastAsia="zh-CN"/>
              </w:rPr>
              <w:t>工程管理部副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460</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13664743042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孙显德</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质量检验中心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093</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13847147917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color w:val="000000"/>
                <w:kern w:val="0"/>
                <w:sz w:val="21"/>
                <w:szCs w:val="21"/>
                <w:highlight w:val="none"/>
                <w:lang w:val="en-US" w:eastAsia="zh-CN" w:bidi="ar-SA"/>
              </w:rPr>
              <w:t>王飞</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color w:val="000000"/>
                <w:kern w:val="0"/>
                <w:sz w:val="21"/>
                <w:szCs w:val="21"/>
                <w:highlight w:val="none"/>
                <w:lang w:val="en-US" w:eastAsia="zh-CN" w:bidi="ar-SA"/>
              </w:rPr>
              <w:t>机电仪运维中心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color w:val="000000"/>
                <w:kern w:val="0"/>
                <w:sz w:val="21"/>
                <w:szCs w:val="21"/>
                <w:lang w:val="en-US" w:eastAsia="zh-CN" w:bidi="ar-SA"/>
              </w:rPr>
              <w:t>3351715</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color w:val="000000"/>
                <w:kern w:val="0"/>
                <w:sz w:val="21"/>
                <w:szCs w:val="21"/>
                <w:lang w:val="en-US" w:eastAsia="zh-CN" w:bidi="ar-SA"/>
              </w:rPr>
              <w:t>13847152882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cs="Times New Roman"/>
                <w:bCs/>
                <w:sz w:val="21"/>
                <w:szCs w:val="21"/>
                <w:lang w:val="en-US" w:eastAsia="zh-CN"/>
              </w:rPr>
              <w:t>胡晓彬</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rPr>
            </w:pPr>
            <w:r>
              <w:rPr>
                <w:rFonts w:hint="eastAsia" w:ascii="Times New Roman" w:hAnsi="Times New Roman" w:cs="Times New Roman"/>
                <w:bCs/>
                <w:sz w:val="21"/>
                <w:szCs w:val="21"/>
                <w:lang w:val="en-US" w:eastAsia="zh-CN"/>
              </w:rPr>
              <w:t>消防支队（</w:t>
            </w:r>
            <w:r>
              <w:rPr>
                <w:rFonts w:hint="eastAsia" w:ascii="Times New Roman" w:hAnsi="Times New Roman" w:eastAsia="宋体" w:cs="Times New Roman"/>
                <w:bCs/>
                <w:sz w:val="21"/>
                <w:szCs w:val="21"/>
                <w:lang w:val="en-US" w:eastAsia="zh-CN"/>
              </w:rPr>
              <w:t>公共事务中心</w:t>
            </w:r>
            <w:r>
              <w:rPr>
                <w:rFonts w:ascii="Times New Roman" w:hAnsi="Times New Roman" w:eastAsia="宋体" w:cs="Times New Roman"/>
                <w:bCs/>
                <w:sz w:val="21"/>
                <w:szCs w:val="21"/>
              </w:rPr>
              <w:t>主任、</w:t>
            </w:r>
            <w:r>
              <w:rPr>
                <w:rFonts w:hint="eastAsia" w:ascii="Times New Roman" w:hAnsi="Times New Roman" w:cs="Times New Roman"/>
                <w:bCs/>
                <w:sz w:val="21"/>
                <w:szCs w:val="21"/>
                <w:lang w:val="en-US" w:eastAsia="zh-CN"/>
              </w:rPr>
              <w:t>保卫部）主任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15344114189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restar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应急办</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公室</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主任</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胡晓荣</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总经理、党委副书记</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3351350</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15391169932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王钢锋</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副总工程师</w:t>
            </w:r>
            <w:r>
              <w:rPr>
                <w:rFonts w:hint="eastAsia" w:ascii="Times New Roman" w:hAnsi="Times New Roman" w:cs="Times New Roman"/>
                <w:bCs/>
                <w:sz w:val="21"/>
                <w:szCs w:val="21"/>
                <w:lang w:eastAsia="zh-CN"/>
              </w:rPr>
              <w:t>、</w:t>
            </w:r>
            <w:r>
              <w:rPr>
                <w:rFonts w:hint="eastAsia" w:ascii="Times New Roman" w:hAnsi="Times New Roman" w:cs="Times New Roman"/>
                <w:bCs/>
                <w:sz w:val="21"/>
                <w:szCs w:val="21"/>
                <w:lang w:val="en-US" w:eastAsia="zh-CN"/>
              </w:rPr>
              <w:t>规划与科技信息部经理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3351409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18147162323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蒋 雨</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安全副总监</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3351196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13947122315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于成林</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副总工程师</w:t>
            </w:r>
            <w:r>
              <w:rPr>
                <w:rFonts w:hint="eastAsia" w:ascii="Times New Roman" w:hAnsi="Times New Roman" w:cs="Times New Roman"/>
                <w:bCs/>
                <w:sz w:val="21"/>
                <w:szCs w:val="21"/>
                <w:lang w:eastAsia="zh-CN"/>
              </w:rPr>
              <w:t>、</w:t>
            </w:r>
            <w:r>
              <w:rPr>
                <w:rFonts w:hint="eastAsia" w:ascii="Times New Roman" w:hAnsi="Times New Roman" w:cs="Times New Roman"/>
                <w:bCs/>
                <w:sz w:val="21"/>
                <w:szCs w:val="21"/>
                <w:lang w:val="en-US" w:eastAsia="zh-CN"/>
              </w:rPr>
              <w:t>生产运行部经理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3351108</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13804716761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王建军</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highlight w:val="none"/>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3351039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13947102407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郭 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3351043</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13847107337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夏建平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3351599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13948190802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eastAsia="宋体" w:cs="Times New Roman"/>
                <w:bCs/>
                <w:sz w:val="21"/>
                <w:szCs w:val="21"/>
                <w:lang w:eastAsia="zh-CN"/>
              </w:rPr>
              <w:t>迟洪君</w:t>
            </w:r>
          </w:p>
        </w:tc>
        <w:tc>
          <w:tcPr>
            <w:tcW w:w="1553"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hint="eastAsia" w:ascii="Times New Roman" w:hAnsi="Times New Roman" w:eastAsia="宋体" w:cs="Times New Roman"/>
                <w:bCs/>
                <w:sz w:val="21"/>
                <w:szCs w:val="21"/>
                <w:lang w:val="en-US" w:eastAsia="zh-CN"/>
              </w:rPr>
              <w:t>办公室</w:t>
            </w:r>
            <w:r>
              <w:rPr>
                <w:rFonts w:hint="eastAsia" w:ascii="Times New Roman" w:hAnsi="Times New Roman" w:cs="Times New Roman"/>
                <w:bCs/>
                <w:sz w:val="21"/>
                <w:szCs w:val="21"/>
                <w:lang w:val="en-US" w:eastAsia="zh-CN"/>
              </w:rPr>
              <w:t>副</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3351103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15184731696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陈源</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人事</w:t>
            </w:r>
            <w:r>
              <w:rPr>
                <w:rFonts w:hint="eastAsia" w:ascii="Times New Roman" w:hAnsi="Times New Roman" w:cs="Times New Roman"/>
                <w:bCs/>
                <w:sz w:val="21"/>
                <w:szCs w:val="21"/>
                <w:lang w:val="en-US" w:eastAsia="zh-CN"/>
              </w:rPr>
              <w:t>部副经理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049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13674830186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sz w:val="21"/>
                <w:szCs w:val="21"/>
                <w:highlight w:val="none"/>
                <w:lang w:val="en-US" w:eastAsia="zh-CN"/>
              </w:rPr>
              <w:t>王雪</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财务</w:t>
            </w:r>
            <w:r>
              <w:rPr>
                <w:rFonts w:hint="eastAsia" w:ascii="Times New Roman" w:hAnsi="Times New Roman" w:cs="Times New Roman"/>
                <w:bCs/>
                <w:sz w:val="21"/>
                <w:szCs w:val="21"/>
                <w:highlight w:val="none"/>
                <w:lang w:val="en-US" w:eastAsia="zh-CN"/>
              </w:rPr>
              <w:t>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786</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15848922895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古正龙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highlight w:val="none"/>
              </w:rPr>
              <w:t>企管法规</w:t>
            </w:r>
            <w:r>
              <w:rPr>
                <w:rFonts w:hint="eastAsia" w:ascii="Times New Roman" w:hAnsi="Times New Roman" w:cs="Times New Roman"/>
                <w:bCs/>
                <w:sz w:val="21"/>
                <w:szCs w:val="21"/>
                <w:highlight w:val="none"/>
                <w:lang w:val="en-US" w:eastAsia="zh-CN"/>
              </w:rPr>
              <w:t>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473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13</w:t>
            </w:r>
            <w:r>
              <w:rPr>
                <w:rFonts w:hint="eastAsia" w:ascii="Times New Roman" w:hAnsi="Times New Roman" w:cs="Times New Roman"/>
                <w:bCs/>
                <w:sz w:val="21"/>
                <w:szCs w:val="21"/>
                <w:lang w:val="en-US" w:eastAsia="zh-CN"/>
              </w:rPr>
              <w:t>739912597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杨立文</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eastAsia="宋体" w:cs="Times New Roman"/>
                <w:bCs/>
                <w:sz w:val="21"/>
                <w:szCs w:val="21"/>
              </w:rPr>
              <w:t>工会副主席、</w:t>
            </w:r>
            <w:r>
              <w:rPr>
                <w:rFonts w:ascii="Times New Roman" w:hAnsi="Times New Roman" w:eastAsia="宋体" w:cs="Times New Roman"/>
                <w:bCs/>
                <w:sz w:val="21"/>
                <w:szCs w:val="21"/>
              </w:rPr>
              <w:t>党群工作</w:t>
            </w:r>
            <w:r>
              <w:rPr>
                <w:rFonts w:hint="eastAsia" w:ascii="Times New Roman" w:hAnsi="Times New Roman" w:eastAsia="宋体" w:cs="Times New Roman"/>
                <w:bCs/>
                <w:sz w:val="21"/>
                <w:szCs w:val="21"/>
                <w:lang w:val="en-US" w:eastAsia="zh-CN"/>
              </w:rPr>
              <w:t>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246</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13354719799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田志广</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纪委副书记、</w:t>
            </w:r>
            <w:r>
              <w:rPr>
                <w:rFonts w:hint="eastAsia" w:ascii="Times New Roman" w:hAnsi="Times New Roman" w:cs="Times New Roman"/>
                <w:bCs/>
                <w:sz w:val="21"/>
                <w:szCs w:val="21"/>
                <w:lang w:val="en-US" w:eastAsia="zh-CN"/>
              </w:rPr>
              <w:t>纪委办公室</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3351037</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15203412388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张勇</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质量健康安全环保部经理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3351704</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18941367420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sz w:val="21"/>
                <w:szCs w:val="21"/>
                <w:highlight w:val="none"/>
                <w:lang w:val="en-US" w:eastAsia="zh-CN"/>
              </w:rPr>
              <w:t>高文炳</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机动</w:t>
            </w:r>
            <w:r>
              <w:rPr>
                <w:rFonts w:hint="eastAsia" w:ascii="Times New Roman" w:hAnsi="Times New Roman" w:cs="Times New Roman"/>
                <w:bCs/>
                <w:sz w:val="21"/>
                <w:szCs w:val="21"/>
                <w:highlight w:val="none"/>
                <w:lang w:val="en-US" w:eastAsia="zh-CN"/>
              </w:rPr>
              <w:t>设备部经理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528</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13948433105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郭晓光</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物资采购部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059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18947915933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耿雄英</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营销调运部</w:t>
            </w:r>
            <w:r>
              <w:rPr>
                <w:rFonts w:hint="eastAsia" w:ascii="Times New Roman" w:hAnsi="Times New Roman" w:eastAsia="宋体" w:cs="Times New Roman"/>
                <w:bCs/>
                <w:sz w:val="21"/>
                <w:szCs w:val="21"/>
                <w:highlight w:val="none"/>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13948100575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刘文龙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highlight w:val="none"/>
                <w:lang w:val="en-US" w:eastAsia="zh-CN"/>
              </w:rPr>
              <w:t>工程管理部副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460</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13664743042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耿雄英</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营销调运部</w:t>
            </w:r>
            <w:r>
              <w:rPr>
                <w:rFonts w:hint="eastAsia" w:ascii="Times New Roman" w:hAnsi="Times New Roman" w:eastAsia="宋体" w:cs="Times New Roman"/>
                <w:bCs/>
                <w:sz w:val="21"/>
                <w:szCs w:val="21"/>
                <w:highlight w:val="none"/>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13948100575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刘文龙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highlight w:val="none"/>
                <w:lang w:val="en-US" w:eastAsia="zh-CN"/>
              </w:rPr>
              <w:t>工程管理部副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460</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13664743042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孙显德</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质量检验中心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093</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13847147917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color w:val="000000"/>
                <w:kern w:val="0"/>
                <w:sz w:val="21"/>
                <w:szCs w:val="21"/>
                <w:highlight w:val="none"/>
                <w:lang w:val="en-US" w:eastAsia="zh-CN" w:bidi="ar-SA"/>
              </w:rPr>
              <w:t>王飞</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color w:val="000000"/>
                <w:kern w:val="0"/>
                <w:sz w:val="21"/>
                <w:szCs w:val="21"/>
                <w:highlight w:val="none"/>
                <w:lang w:val="en-US" w:eastAsia="zh-CN" w:bidi="ar-SA"/>
              </w:rPr>
              <w:t>机电仪运维中心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color w:val="000000"/>
                <w:kern w:val="0"/>
                <w:sz w:val="21"/>
                <w:szCs w:val="21"/>
                <w:lang w:val="en-US" w:eastAsia="zh-CN" w:bidi="ar-SA"/>
              </w:rPr>
              <w:t>3351715</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color w:val="000000"/>
                <w:kern w:val="0"/>
                <w:sz w:val="21"/>
                <w:szCs w:val="21"/>
                <w:lang w:val="en-US" w:eastAsia="zh-CN" w:bidi="ar-SA"/>
              </w:rPr>
              <w:t>13847152882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胡晓彬</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消防支队（</w:t>
            </w:r>
            <w:r>
              <w:rPr>
                <w:rFonts w:hint="eastAsia" w:ascii="Times New Roman" w:hAnsi="Times New Roman" w:eastAsia="宋体" w:cs="Times New Roman"/>
                <w:bCs/>
                <w:sz w:val="21"/>
                <w:szCs w:val="21"/>
                <w:lang w:val="en-US" w:eastAsia="zh-CN"/>
              </w:rPr>
              <w:t>公共事务中心</w:t>
            </w:r>
            <w:r>
              <w:rPr>
                <w:rFonts w:ascii="Times New Roman" w:hAnsi="Times New Roman" w:eastAsia="宋体" w:cs="Times New Roman"/>
                <w:bCs/>
                <w:sz w:val="21"/>
                <w:szCs w:val="21"/>
              </w:rPr>
              <w:t>主任、</w:t>
            </w:r>
            <w:r>
              <w:rPr>
                <w:rFonts w:hint="eastAsia" w:ascii="Times New Roman" w:hAnsi="Times New Roman" w:cs="Times New Roman"/>
                <w:bCs/>
                <w:sz w:val="21"/>
                <w:szCs w:val="21"/>
                <w:lang w:val="en-US" w:eastAsia="zh-CN"/>
              </w:rPr>
              <w:t>保卫部）主任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15344114189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董英武</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质量健康安全环保部副经理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3351815</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13674756385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乔建平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质量健康安全环保部副经理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3351670</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15354829675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费恩柱</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微软雅黑" w:hAnsi="微软雅黑" w:eastAsia="微软雅黑" w:cs="微软雅黑"/>
                <w:i w:val="0"/>
                <w:caps w:val="0"/>
                <w:color w:val="000000"/>
                <w:spacing w:val="0"/>
                <w:sz w:val="18"/>
                <w:szCs w:val="18"/>
                <w:u w:val="none"/>
                <w:shd w:val="clear" w:fill="FFFFFF"/>
                <w:vertAlign w:val="baseline"/>
              </w:rPr>
              <w:fldChar w:fldCharType="begin"/>
            </w:r>
            <w:r>
              <w:rPr>
                <w:rFonts w:ascii="微软雅黑" w:hAnsi="微软雅黑" w:eastAsia="微软雅黑" w:cs="微软雅黑"/>
                <w:i w:val="0"/>
                <w:caps w:val="0"/>
                <w:color w:val="000000"/>
                <w:spacing w:val="0"/>
                <w:sz w:val="18"/>
                <w:szCs w:val="18"/>
                <w:u w:val="none"/>
                <w:shd w:val="clear" w:fill="FFFFFF"/>
                <w:vertAlign w:val="baseline"/>
              </w:rPr>
              <w:instrText xml:space="preserve"> HYPERLINK "https://hush.eip.cnpc/sites/scyxc/Pages/txl.aspx" \t "https://hush.eip.cnpc/Pages/_blank" </w:instrText>
            </w:r>
            <w:r>
              <w:rPr>
                <w:rFonts w:ascii="微软雅黑" w:hAnsi="微软雅黑" w:eastAsia="微软雅黑" w:cs="微软雅黑"/>
                <w:i w:val="0"/>
                <w:caps w:val="0"/>
                <w:color w:val="000000"/>
                <w:spacing w:val="0"/>
                <w:sz w:val="18"/>
                <w:szCs w:val="18"/>
                <w:u w:val="none"/>
                <w:shd w:val="clear" w:fill="FFFFFF"/>
                <w:vertAlign w:val="baseline"/>
              </w:rPr>
              <w:fldChar w:fldCharType="separate"/>
            </w:r>
            <w:r>
              <w:rPr>
                <w:rStyle w:val="19"/>
                <w:rFonts w:hint="eastAsia" w:ascii="微软雅黑" w:hAnsi="微软雅黑" w:eastAsia="微软雅黑" w:cs="微软雅黑"/>
                <w:i w:val="0"/>
                <w:caps w:val="0"/>
                <w:color w:val="000000"/>
                <w:spacing w:val="0"/>
                <w:sz w:val="18"/>
                <w:szCs w:val="18"/>
                <w:u w:val="none"/>
                <w:shd w:val="clear" w:fill="FFFFFF"/>
                <w:vertAlign w:val="baseline"/>
              </w:rPr>
              <w:t>生产运行部</w:t>
            </w:r>
            <w:r>
              <w:rPr>
                <w:rFonts w:hint="eastAsia" w:ascii="微软雅黑" w:hAnsi="微软雅黑" w:eastAsia="微软雅黑" w:cs="微软雅黑"/>
                <w:i w:val="0"/>
                <w:caps w:val="0"/>
                <w:color w:val="000000"/>
                <w:spacing w:val="0"/>
                <w:sz w:val="18"/>
                <w:szCs w:val="18"/>
                <w:u w:val="none"/>
                <w:shd w:val="clear" w:fill="FFFFFF"/>
                <w:vertAlign w:val="baseline"/>
              </w:rPr>
              <w:fldChar w:fldCharType="end"/>
            </w:r>
            <w:r>
              <w:rPr>
                <w:rFonts w:ascii="Arial Unicode MS" w:hAnsi="Arial Unicode MS" w:eastAsia="Arial Unicode MS" w:cs="Arial Unicode MS"/>
                <w:i w:val="0"/>
                <w:caps w:val="0"/>
                <w:color w:val="000000"/>
                <w:spacing w:val="0"/>
                <w:sz w:val="21"/>
                <w:szCs w:val="21"/>
                <w:shd w:val="clear" w:fill="FFFFFF"/>
              </w:rPr>
              <w:t>副经理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3351495</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15845837370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top"/>
          </w:tcPr>
          <w:p>
            <w:pPr>
              <w:jc w:val="center"/>
              <w:rPr>
                <w:rFonts w:ascii="Times New Roman" w:hAnsi="Times New Roman" w:eastAsia="宋体" w:cs="Times New Roman"/>
                <w:szCs w:val="21"/>
              </w:rPr>
            </w:pPr>
            <w:r>
              <w:rPr>
                <w:rFonts w:ascii="Times New Roman" w:hAnsi="Times New Roman" w:eastAsia="宋体" w:cs="Times New Roman"/>
                <w:bCs/>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cs="Times New Roman"/>
                <w:bCs/>
                <w:sz w:val="21"/>
                <w:szCs w:val="21"/>
                <w:lang w:val="en-US" w:eastAsia="zh-CN"/>
              </w:rPr>
              <w:t>赵福</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微软雅黑" w:hAnsi="微软雅黑" w:eastAsia="微软雅黑" w:cs="微软雅黑"/>
                <w:i w:val="0"/>
                <w:caps w:val="0"/>
                <w:color w:val="000000"/>
                <w:spacing w:val="0"/>
                <w:sz w:val="18"/>
                <w:szCs w:val="18"/>
                <w:u w:val="none"/>
                <w:shd w:val="clear" w:fill="FFFFFF"/>
                <w:vertAlign w:val="baseline"/>
              </w:rPr>
              <w:fldChar w:fldCharType="begin"/>
            </w:r>
            <w:r>
              <w:rPr>
                <w:rFonts w:ascii="微软雅黑" w:hAnsi="微软雅黑" w:eastAsia="微软雅黑" w:cs="微软雅黑"/>
                <w:i w:val="0"/>
                <w:caps w:val="0"/>
                <w:color w:val="000000"/>
                <w:spacing w:val="0"/>
                <w:sz w:val="18"/>
                <w:szCs w:val="18"/>
                <w:u w:val="none"/>
                <w:shd w:val="clear" w:fill="FFFFFF"/>
                <w:vertAlign w:val="baseline"/>
              </w:rPr>
              <w:instrText xml:space="preserve"> HYPERLINK "https://hush.eip.cnpc/sites/scyxc/Pages/txl.aspx" \t "https://hush.eip.cnpc/Pages/_blank" </w:instrText>
            </w:r>
            <w:r>
              <w:rPr>
                <w:rFonts w:ascii="微软雅黑" w:hAnsi="微软雅黑" w:eastAsia="微软雅黑" w:cs="微软雅黑"/>
                <w:i w:val="0"/>
                <w:caps w:val="0"/>
                <w:color w:val="000000"/>
                <w:spacing w:val="0"/>
                <w:sz w:val="18"/>
                <w:szCs w:val="18"/>
                <w:u w:val="none"/>
                <w:shd w:val="clear" w:fill="FFFFFF"/>
                <w:vertAlign w:val="baseline"/>
              </w:rPr>
              <w:fldChar w:fldCharType="separate"/>
            </w:r>
            <w:r>
              <w:rPr>
                <w:rStyle w:val="19"/>
                <w:rFonts w:hint="eastAsia" w:ascii="微软雅黑" w:hAnsi="微软雅黑" w:eastAsia="微软雅黑" w:cs="微软雅黑"/>
                <w:i w:val="0"/>
                <w:caps w:val="0"/>
                <w:color w:val="000000"/>
                <w:spacing w:val="0"/>
                <w:sz w:val="18"/>
                <w:szCs w:val="18"/>
                <w:u w:val="none"/>
                <w:shd w:val="clear" w:fill="FFFFFF"/>
                <w:vertAlign w:val="baseline"/>
              </w:rPr>
              <w:t>生产运行部</w:t>
            </w:r>
            <w:r>
              <w:rPr>
                <w:rFonts w:hint="eastAsia" w:ascii="微软雅黑" w:hAnsi="微软雅黑" w:eastAsia="微软雅黑" w:cs="微软雅黑"/>
                <w:i w:val="0"/>
                <w:caps w:val="0"/>
                <w:color w:val="000000"/>
                <w:spacing w:val="0"/>
                <w:sz w:val="18"/>
                <w:szCs w:val="18"/>
                <w:u w:val="none"/>
                <w:shd w:val="clear" w:fill="FFFFFF"/>
                <w:vertAlign w:val="baseline"/>
              </w:rPr>
              <w:fldChar w:fldCharType="end"/>
            </w:r>
            <w:r>
              <w:rPr>
                <w:rFonts w:ascii="Arial Unicode MS" w:hAnsi="Arial Unicode MS" w:eastAsia="Arial Unicode MS" w:cs="Arial Unicode MS"/>
                <w:i w:val="0"/>
                <w:caps w:val="0"/>
                <w:color w:val="000000"/>
                <w:spacing w:val="0"/>
                <w:sz w:val="21"/>
                <w:szCs w:val="21"/>
                <w:shd w:val="clear" w:fill="FFFFFF"/>
              </w:rPr>
              <w:t>副经理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3351598</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13474707671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top"/>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bCs/>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王永辉</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机动设备</w:t>
            </w:r>
            <w:r>
              <w:rPr>
                <w:rFonts w:hint="eastAsia" w:ascii="Times New Roman" w:hAnsi="Times New Roman" w:cs="Times New Roman"/>
                <w:bCs/>
                <w:sz w:val="21"/>
                <w:szCs w:val="21"/>
                <w:lang w:val="en-US" w:eastAsia="zh-CN"/>
              </w:rPr>
              <w:t>部</w:t>
            </w:r>
            <w:r>
              <w:rPr>
                <w:rFonts w:ascii="Times New Roman" w:hAnsi="Times New Roman" w:eastAsia="宋体" w:cs="Times New Roman"/>
                <w:bCs/>
                <w:sz w:val="21"/>
                <w:szCs w:val="21"/>
              </w:rPr>
              <w:t>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877</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13634717800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环保监</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测组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孙显德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质量检验中心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093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13847147917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应急信</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息组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杨立文</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工会副主席、</w:t>
            </w:r>
            <w:r>
              <w:rPr>
                <w:rFonts w:ascii="Times New Roman" w:hAnsi="Times New Roman" w:eastAsia="宋体" w:cs="Times New Roman"/>
                <w:bCs/>
                <w:sz w:val="21"/>
                <w:szCs w:val="21"/>
              </w:rPr>
              <w:t>党群工作</w:t>
            </w:r>
            <w:r>
              <w:rPr>
                <w:rFonts w:hint="eastAsia" w:ascii="Times New Roman" w:hAnsi="Times New Roman" w:eastAsia="宋体" w:cs="Times New Roman"/>
                <w:bCs/>
                <w:sz w:val="21"/>
                <w:szCs w:val="21"/>
                <w:lang w:val="en-US" w:eastAsia="zh-CN"/>
              </w:rPr>
              <w:t>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246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13354719799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消防保</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卫组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cs="Times New Roman"/>
                <w:bCs/>
                <w:sz w:val="21"/>
                <w:szCs w:val="21"/>
                <w:lang w:val="en-US" w:eastAsia="zh-CN"/>
              </w:rPr>
              <w:t>胡晓彬</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消防支队（</w:t>
            </w:r>
            <w:r>
              <w:rPr>
                <w:rFonts w:hint="eastAsia" w:ascii="Times New Roman" w:hAnsi="Times New Roman" w:eastAsia="宋体" w:cs="Times New Roman"/>
                <w:bCs/>
                <w:sz w:val="21"/>
                <w:szCs w:val="21"/>
                <w:lang w:val="en-US" w:eastAsia="zh-CN"/>
              </w:rPr>
              <w:t>公共事务中心</w:t>
            </w:r>
            <w:r>
              <w:rPr>
                <w:rFonts w:ascii="Times New Roman" w:hAnsi="Times New Roman" w:eastAsia="宋体" w:cs="Times New Roman"/>
                <w:bCs/>
                <w:sz w:val="21"/>
                <w:szCs w:val="21"/>
              </w:rPr>
              <w:t>主任、</w:t>
            </w:r>
            <w:r>
              <w:rPr>
                <w:rFonts w:hint="eastAsia" w:ascii="Times New Roman" w:hAnsi="Times New Roman" w:cs="Times New Roman"/>
                <w:bCs/>
                <w:sz w:val="21"/>
                <w:szCs w:val="21"/>
                <w:lang w:val="en-US" w:eastAsia="zh-CN"/>
              </w:rPr>
              <w:t>保卫部）主任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15344114189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设备抢</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险组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highlight w:val="none"/>
                <w:lang w:val="en-US" w:eastAsia="zh-CN"/>
              </w:rPr>
              <w:t>高文炳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highlight w:val="none"/>
              </w:rPr>
              <w:t>机动</w:t>
            </w:r>
            <w:r>
              <w:rPr>
                <w:rFonts w:hint="eastAsia" w:ascii="Times New Roman" w:hAnsi="Times New Roman" w:cs="Times New Roman"/>
                <w:bCs/>
                <w:sz w:val="21"/>
                <w:szCs w:val="21"/>
                <w:highlight w:val="none"/>
                <w:lang w:val="en-US" w:eastAsia="zh-CN"/>
              </w:rPr>
              <w:t>设备部经理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528</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13948433105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医疗救</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护组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陈斯明</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ascii="Times New Roman" w:hAnsi="Times New Roman" w:eastAsia="宋体" w:cs="Times New Roman"/>
                <w:bCs/>
                <w:sz w:val="21"/>
                <w:szCs w:val="21"/>
              </w:rPr>
              <w:t>宝石花医院</w:t>
            </w:r>
            <w:r>
              <w:rPr>
                <w:rFonts w:hint="eastAsia" w:ascii="Times New Roman" w:hAnsi="Times New Roman" w:cs="Times New Roman"/>
                <w:bCs/>
                <w:sz w:val="21"/>
                <w:szCs w:val="21"/>
                <w:lang w:val="en-US" w:eastAsia="zh-CN"/>
              </w:rPr>
              <w:t>负责人</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3351317</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13904380680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后勤保</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障组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胡晓彬</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消防支队（</w:t>
            </w:r>
            <w:r>
              <w:rPr>
                <w:rFonts w:hint="eastAsia" w:ascii="Times New Roman" w:hAnsi="Times New Roman" w:eastAsia="宋体" w:cs="Times New Roman"/>
                <w:bCs/>
                <w:sz w:val="21"/>
                <w:szCs w:val="21"/>
                <w:lang w:val="en-US" w:eastAsia="zh-CN"/>
              </w:rPr>
              <w:t>公共事务中心</w:t>
            </w:r>
            <w:r>
              <w:rPr>
                <w:rFonts w:ascii="Times New Roman" w:hAnsi="Times New Roman" w:eastAsia="宋体" w:cs="Times New Roman"/>
                <w:bCs/>
                <w:sz w:val="21"/>
                <w:szCs w:val="21"/>
              </w:rPr>
              <w:t>主任、</w:t>
            </w:r>
            <w:r>
              <w:rPr>
                <w:rFonts w:hint="eastAsia" w:ascii="Times New Roman" w:hAnsi="Times New Roman" w:cs="Times New Roman"/>
                <w:bCs/>
                <w:sz w:val="21"/>
                <w:szCs w:val="21"/>
                <w:lang w:val="en-US" w:eastAsia="zh-CN"/>
              </w:rPr>
              <w:t>保卫部）主任</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289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15344114189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restar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专家组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王建军</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3351039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13947102407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郭 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3351043</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13847107337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夏建平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3351599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13948190802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火警电话</w:t>
            </w:r>
          </w:p>
        </w:tc>
        <w:tc>
          <w:tcPr>
            <w:tcW w:w="2821" w:type="pct"/>
            <w:gridSpan w:val="3"/>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3351119</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急救电话</w:t>
            </w:r>
          </w:p>
        </w:tc>
        <w:tc>
          <w:tcPr>
            <w:tcW w:w="2821" w:type="pct"/>
            <w:gridSpan w:val="3"/>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3352229</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p>
        </w:tc>
      </w:tr>
    </w:tbl>
    <w:p>
      <w:pPr>
        <w:pStyle w:val="5"/>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应急处置程序</w:t>
      </w:r>
      <w:bookmarkEnd w:id="35"/>
      <w:bookmarkEnd w:id="36"/>
    </w:p>
    <w:p>
      <w:pPr>
        <w:pStyle w:val="6"/>
        <w:bidi w:val="0"/>
        <w:rPr>
          <w:rFonts w:hint="eastAsia" w:ascii="仿宋" w:hAnsi="仿宋" w:eastAsia="仿宋" w:cs="仿宋"/>
          <w:sz w:val="28"/>
          <w:szCs w:val="28"/>
          <w:highlight w:val="none"/>
        </w:rPr>
      </w:pPr>
      <w:bookmarkStart w:id="37" w:name="_Toc25520"/>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.1信息报告程序和内容</w:t>
      </w:r>
      <w:bookmarkEnd w:id="37"/>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bookmarkStart w:id="38" w:name="_Toc4402"/>
      <w:r>
        <w:rPr>
          <w:rFonts w:hint="eastAsia" w:ascii="仿宋" w:hAnsi="仿宋" w:eastAsia="仿宋" w:cs="仿宋"/>
          <w:snapToGrid w:val="0"/>
          <w:color w:val="auto"/>
          <w:kern w:val="0"/>
          <w:sz w:val="28"/>
          <w:szCs w:val="28"/>
          <w:highlight w:val="none"/>
          <w:lang w:val="en-US" w:eastAsia="zh-CN"/>
        </w:rPr>
        <w:t>（1）内部信息报告程序：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最早发现险情者应立即通过现场报警设备、对讲机向班长、副班长报警，接到报警后，当班班长、副班长要立即报告车间主任和车间应急领导小组其他人员；同时联系生产调度中心，根据现场实际情况联系公司消防保卫部、地方医院等应急队伍增援。</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生产调度中心值班人员接到报警后立即向应急办公室主任汇报，应急办公室根据事故信息判断生产安全事故的等级，启动相应级别应急预案。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（2）信息上报程序：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发生放射性生产安全事故时，应急办公室应向集团公司总值班室报告信息，同时向赛罕区应急管理局和呼和浩特市应急管理局、生态环境局汇报信息。</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（3）信息报告内容：</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说明发生放射源事故的具体位置、部位、泄漏程度、人员伤亡和采取的措施等情况。</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.2接警报告和记录程序</w:t>
      </w:r>
      <w:bookmarkEnd w:id="38"/>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39" w:name="_Toc22650"/>
      <w:r>
        <w:rPr>
          <w:rFonts w:hint="eastAsia" w:ascii="仿宋" w:hAnsi="仿宋" w:eastAsia="仿宋" w:cs="仿宋"/>
          <w:color w:val="auto"/>
          <w:sz w:val="28"/>
          <w:szCs w:val="28"/>
          <w:highlight w:val="none"/>
          <w:lang w:val="en-US" w:eastAsia="zh-CN"/>
        </w:rPr>
        <w:t>（1）信息接警报告：</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当放射源事故达到I级应急响应时，公司应急办公室第一时间向中国石油集团公司应急办公室、炼油与化工公司、呼和浩特市政府应急办公室、呼和浩特市安全生产监督管理局报告,随后通过后续报告及时反映事态进展，提供进一步的情况和资料。特殊情况，事件现场单位可以越级报告突发重特大事件信息。</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②信息报告和电信联络采用有效方式传递信息，发传真和电子邮件时，必须确认对方已收到。</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③公司应急办公室应记录各单位报告的生产安全事故报告信息，并保存公司各单位原始报告。</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④公司应急领导小组指定有关部门或人员负责与集团公司应急办公室和呼和浩特市人民政府应急办公室的联络，保证信息报告和指令传达的畅通。</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（2）报告和记录的内容：</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①事件的类别；</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②事件发生的时间、地点；</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③事件发生的初步原因、概况和已经采取的措施等；</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④现场人员状况，人员伤亡及撤离情况(人数、程度、所属单位等);</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⑤事件经过描述；</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⑥事件造成的环境污染情况；</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⑦事件对周边的影响情况；</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⑧当时现场主要天气情况；</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⑨生产恢复期的初步判断；</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⑩信息来源，报告人的单位、姓名、职务和最方便的联系电话。</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（3）信息记录及归档：</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①应急办公室对应急行动全过程进行记录；</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②应急办公室将全部应急活动记录和应急领导小组有关会议记录及资料归档。</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.3应急指挥机构启动程序</w:t>
      </w:r>
      <w:bookmarkEnd w:id="39"/>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40" w:name="_Toc13869"/>
      <w:r>
        <w:rPr>
          <w:rFonts w:hint="eastAsia" w:ascii="仿宋" w:hAnsi="仿宋" w:eastAsia="仿宋" w:cs="仿宋"/>
          <w:color w:val="auto"/>
          <w:sz w:val="28"/>
          <w:szCs w:val="28"/>
          <w:highlight w:val="none"/>
          <w:lang w:val="en-US" w:eastAsia="zh-CN"/>
        </w:rPr>
        <w:t>1)公司各单位发生生产安全事故时，首先启动现场处置预案进行处置，同时向公司生产调度中心报告。</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2)生产调度中心接到报告后研判事件等级，跟踪掌握事态发展情况，当发生一般放射源及以上事件时，立即启动相应专项应急预案。</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.4应急指挥程序</w:t>
      </w:r>
      <w:bookmarkEnd w:id="40"/>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41" w:name="_Toc22945"/>
      <w:r>
        <w:rPr>
          <w:rFonts w:hint="eastAsia" w:ascii="仿宋" w:hAnsi="仿宋" w:eastAsia="仿宋" w:cs="仿宋"/>
          <w:color w:val="auto"/>
          <w:sz w:val="28"/>
          <w:szCs w:val="28"/>
          <w:highlight w:val="none"/>
          <w:lang w:val="en-US" w:eastAsia="zh-CN"/>
        </w:rPr>
        <w:t>(1)生产安全事故发生时，在车间应急小组成员到达现场前，班长是现场第一指挥人，全面负责人员安全和装置险情控制。班长在接到事故报告时要及时启动应急预案进行现场处置，同时向生产调度中心、车间应急小组报警，必要时联系消防保卫部、地方医院、三修车间、环保监测人员。在车间应急小组成员到达现场后，履行应急指挥权的交接，由车间应急小组组长负责现场应急指挥。</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(2)当事态扩大时，公司应急小组办公室组长到达现场时，车间应急应急领导小组将指挥权进行移交。</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.5应急资源调配程序</w:t>
      </w:r>
      <w:bookmarkEnd w:id="41"/>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42" w:name="_Toc29713"/>
      <w:r>
        <w:rPr>
          <w:rFonts w:hint="eastAsia" w:ascii="仿宋" w:hAnsi="仿宋" w:eastAsia="仿宋" w:cs="仿宋"/>
          <w:color w:val="auto"/>
          <w:sz w:val="28"/>
          <w:szCs w:val="28"/>
          <w:highlight w:val="none"/>
          <w:lang w:val="en-US" w:eastAsia="zh-CN"/>
        </w:rPr>
        <w:t>（1）应急队伍调动：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应急小组办公室根据事故等级及类型调动各专兼职应急队伍加入到应急处置中。</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（2）应急物资调动：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应急小组办公室根据事故等级及类型调动所需应急物资，物资配送中心负责应急物资的运输。</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（3）应急专家调动：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应急预案启动后，应急办公室尽快与相关专家取得联系，迅速调动专家到应急领导小组办公室报到，并向专家介绍现场情况，及时获取专家建议；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（4）应急联防资源调动：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根据应急联动机制，请求周边协议单位和政府相关部门出动救援力量进行支援。</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.6应急救援程序</w:t>
      </w:r>
      <w:bookmarkEnd w:id="4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43" w:name="_Toc9995"/>
      <w:r>
        <w:rPr>
          <w:rFonts w:hint="eastAsia" w:ascii="仿宋" w:hAnsi="仿宋" w:eastAsia="仿宋" w:cs="仿宋"/>
          <w:color w:val="auto"/>
          <w:sz w:val="28"/>
          <w:szCs w:val="28"/>
          <w:highlight w:val="none"/>
          <w:lang w:val="en-US" w:eastAsia="zh-CN"/>
        </w:rPr>
        <w:t>（1）伤员搜救与人员疏散：</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①事故发生后，事发单位当班班长首先清点岗位人员，指挥班组人员对受伤或丢缺人员在保证自身安全的前提下，立即到事故现场搜查，救护受伤人员，撤离到安全地带，等待地方医院救护。</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②事故岗位人员及周围受影响的人员，在班长指挥下，视情况确定，除必要的骨干作业人员外，其他人员在班长许可下，立即疏散撤离到安全地带。</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③地方医院救护人员到达现场后立即对伤员进行紧急救护，并送医院治疗。</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（2）工艺处置：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①事发单位根据操作规程和应急预案规定采取适当的工艺处置，控制泄漏源。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②事件继续扩大时，可根据现场情况和相关部门和领导指示采取紧急停车措施。</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（3）实施警戒，维护治安：</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①消防保卫部保卫人员到达现场后，根据事故现场情况，在现场四周划定界区，设定警戒线，严禁无关人员进出。</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②消防保卫部保卫人员对公司大门、交通要道进行管制，指挥应急车辆交通，严禁无关社会人员进入。</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（4）消防灭火，设备抢修：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三修车间和抢修队伍在条件允许情况下，采取可靠措施进行设备抢修和恢复。</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（5）环境监测与控制：</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①启动三级防控系统对事故污水和污染物进行控制，防治污水外排和次生环境污染。</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②对事故污水、和周边环境气体进行取样、监测，确保危害污染区域及范围，发出预警，供应急指供应急指挥现场部参考。</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（6）生产恢复与事故调查：</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①待事故隐患全部消除，应急领导小组办公室下达恢复生产指令，车间启动开工程序。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②恢复生产后，相关部门成立事故调查组，按照“四不放过”原则，调查处理事故。</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（7）扩大应急程序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当生产安全事故事态超出或有可能超出公司应急处置能力时，公司应急领导小组应采取措施及时向呼和浩特市政府相关部门和中国石油集团公司请求支援，扩大应急。</w:t>
      </w:r>
    </w:p>
    <w:p>
      <w:pPr>
        <w:pStyle w:val="5"/>
        <w:bidi w:val="0"/>
        <w:rPr>
          <w:rFonts w:hint="eastAsia" w:ascii="仿宋" w:hAnsi="仿宋" w:eastAsia="仿宋" w:cs="仿宋"/>
          <w:sz w:val="28"/>
          <w:szCs w:val="28"/>
          <w:highlight w:val="none"/>
        </w:rPr>
      </w:pPr>
      <w:bookmarkStart w:id="44" w:name="_Toc12624"/>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处置措施</w:t>
      </w:r>
      <w:bookmarkEnd w:id="43"/>
      <w:bookmarkEnd w:id="44"/>
    </w:p>
    <w:p>
      <w:pPr>
        <w:pStyle w:val="6"/>
        <w:bidi w:val="0"/>
        <w:rPr>
          <w:rFonts w:hint="eastAsia" w:ascii="仿宋" w:hAnsi="仿宋" w:eastAsia="仿宋" w:cs="仿宋"/>
          <w:sz w:val="28"/>
          <w:szCs w:val="28"/>
          <w:highlight w:val="none"/>
        </w:rPr>
      </w:pPr>
      <w:bookmarkStart w:id="45" w:name="_Toc5421"/>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.1放射源丢失、被盗</w:t>
      </w:r>
      <w:bookmarkEnd w:id="45"/>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（1）发生放射源丢失、被盗或被抢事件，由公司应急领导小组向当地公安机关、环保、卫生行政部门报案，保护好现场并认真配合公安机关、环保行政部门进行调查、侦破、处置。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（2）在指定区域内宣传放射性物质的危害特性，并向公众发出危险或避险警告的信息。</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如果在拆装放射源过程中，发生放射源脱落，或在运输途中发生源罐颠落时，应立即封锁现场及可能脱落、颠落区域，上报公司有关部门，由专业工作人员寻找。若仍找不到上报环向当地公安机关、环保、卫生行政部门报案，保护好现场并认真配合公安机关、环保行政部门进行调查、侦破、处置。</w:t>
      </w:r>
    </w:p>
    <w:p>
      <w:pPr>
        <w:pStyle w:val="6"/>
        <w:bidi w:val="0"/>
        <w:rPr>
          <w:rFonts w:hint="eastAsia" w:ascii="仿宋" w:hAnsi="仿宋" w:eastAsia="仿宋" w:cs="仿宋"/>
          <w:sz w:val="28"/>
          <w:szCs w:val="28"/>
          <w:highlight w:val="none"/>
        </w:rPr>
      </w:pPr>
      <w:bookmarkStart w:id="46" w:name="_Toc19400"/>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.2放射性物质泄漏处置措施</w:t>
      </w:r>
      <w:bookmarkEnd w:id="46"/>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（1）迅速做好事故现场布控，设定隔离区，紧急疏散转移隔离区内所有无关人员；积极与政府环保、卫生、公安部门协调，切断一切可能扩大辐射污染范围的途径。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（2）迅速确定放射污染物种类、活度、污染范围和污染程度，公司放射源基本情况见呼和浩特石化公司放射源仪表一览表。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机动设备处联系委托运维放射源的专业公司，组织专业技术人员佩戴个人防护用具进入事故现场，实时监测放射强度，尽早查明事故原因，为事故处理提供科学依据。现场应急领导小组根据监测结果及时调整隔离区、危险区的范围。</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（4）在采取有效个人安全防护措施的情况下组织人员彻底清除污染。对可能受放射污染或者放射损伤的人员，立即采取暂时隔离和应急救援措施。组织有可能受到放射性物质伤害的周边群众进行体检和治疗。</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（5）污染现场尚未达到安全水平以前，不得解除封锁。</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（6）事发单位根据操作规程和应急预案规定采取适当的工艺处置，切断和控制引起放射源泄漏和污染的条件。</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（7）事件继续扩大时，可根据现场情况和相关部门和领导指示采取紧急停车措施。</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（8）待事故隐患全部消除，应急领导小组办公室下达恢复生产指令，车间启动开工程序。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（9）恢复生产后，相关部门成立事故调查组，按照“四不放过”原则，调查处理事故。</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公司有</w:t>
      </w:r>
      <w:r>
        <w:rPr>
          <w:rFonts w:hint="eastAsia" w:ascii="仿宋" w:hAnsi="仿宋" w:eastAsia="仿宋" w:cs="仿宋"/>
          <w:snapToGrid w:val="0"/>
          <w:color w:val="auto"/>
          <w:kern w:val="0"/>
          <w:sz w:val="28"/>
          <w:szCs w:val="28"/>
          <w:highlight w:val="none"/>
          <w:lang w:val="en-US" w:eastAsia="zh-CN"/>
        </w:rPr>
        <w:t>6枚为Ⅳ类放射源，16枚为Ⅴ类放射源</w:t>
      </w:r>
      <w:r>
        <w:rPr>
          <w:rFonts w:hint="eastAsia" w:ascii="仿宋" w:hAnsi="仿宋" w:eastAsia="仿宋" w:cs="仿宋"/>
          <w:sz w:val="28"/>
          <w:szCs w:val="28"/>
          <w:highlight w:val="none"/>
          <w:lang w:val="en-US" w:eastAsia="zh-CN"/>
        </w:rPr>
        <w:t>，可能发生放射源泄漏、被盗、丢失、失控导致人员受到超过年剂量限值的照射。</w:t>
      </w:r>
    </w:p>
    <w:p>
      <w:pPr>
        <w:spacing w:line="500" w:lineRule="exact"/>
        <w:ind w:left="0" w:firstLine="560" w:firstLineChars="200"/>
        <w:rPr>
          <w:rFonts w:hint="eastAsia" w:ascii="仿宋" w:hAnsi="仿宋" w:eastAsia="仿宋" w:cs="仿宋"/>
          <w:bCs/>
          <w:sz w:val="28"/>
          <w:szCs w:val="28"/>
          <w:highlight w:val="none"/>
          <w:lang w:val="en-US" w:eastAsia="zh-CN"/>
        </w:rPr>
      </w:pPr>
      <w:r>
        <w:rPr>
          <w:rFonts w:hint="eastAsia" w:ascii="仿宋" w:hAnsi="仿宋" w:eastAsia="仿宋" w:cs="仿宋"/>
          <w:bCs/>
          <w:sz w:val="28"/>
          <w:szCs w:val="28"/>
          <w:highlight w:val="none"/>
          <w:lang w:val="en-US" w:eastAsia="zh-CN"/>
        </w:rPr>
        <w:t>如发</w:t>
      </w:r>
      <w:r>
        <w:rPr>
          <w:rFonts w:hint="eastAsia" w:ascii="仿宋" w:hAnsi="仿宋" w:eastAsia="仿宋" w:cs="仿宋"/>
          <w:sz w:val="28"/>
          <w:szCs w:val="28"/>
          <w:highlight w:val="none"/>
          <w:lang w:val="en-US" w:eastAsia="zh-CN"/>
        </w:rPr>
        <w:t>辐射</w:t>
      </w:r>
      <w:r>
        <w:rPr>
          <w:rFonts w:hint="eastAsia" w:ascii="仿宋" w:hAnsi="仿宋" w:eastAsia="仿宋" w:cs="仿宋"/>
          <w:bCs/>
          <w:sz w:val="28"/>
          <w:szCs w:val="28"/>
          <w:highlight w:val="none"/>
          <w:lang w:val="en-US" w:eastAsia="zh-CN"/>
        </w:rPr>
        <w:t>事故采取以下措施：</w:t>
      </w:r>
    </w:p>
    <w:p>
      <w:pPr>
        <w:spacing w:line="500" w:lineRule="exact"/>
        <w:ind w:left="0" w:firstLine="562" w:firstLineChars="200"/>
        <w:rPr>
          <w:rFonts w:hint="eastAsia" w:ascii="仿宋" w:hAnsi="仿宋" w:eastAsia="仿宋" w:cs="仿宋"/>
          <w:sz w:val="28"/>
          <w:szCs w:val="28"/>
          <w:highlight w:val="none"/>
        </w:rPr>
      </w:pPr>
      <w:r>
        <w:rPr>
          <w:rFonts w:hint="eastAsia" w:ascii="仿宋" w:hAnsi="仿宋" w:eastAsia="仿宋" w:cs="仿宋"/>
          <w:b/>
          <w:sz w:val="28"/>
          <w:szCs w:val="28"/>
          <w:highlight w:val="none"/>
        </w:rPr>
        <w:t>（1）启动</w:t>
      </w:r>
      <w:r>
        <w:rPr>
          <w:rFonts w:hint="eastAsia" w:ascii="仿宋" w:hAnsi="仿宋" w:eastAsia="仿宋" w:cs="仿宋"/>
          <w:b/>
          <w:bCs/>
          <w:sz w:val="28"/>
          <w:szCs w:val="28"/>
          <w:highlight w:val="none"/>
        </w:rPr>
        <w:t>Ⅰ级响应</w:t>
      </w:r>
    </w:p>
    <w:p>
      <w:pPr>
        <w:spacing w:line="500" w:lineRule="exact"/>
        <w:ind w:left="0"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lang w:eastAsia="zh-CN"/>
        </w:rPr>
        <w:t>负责</w:t>
      </w:r>
      <w:r>
        <w:rPr>
          <w:rFonts w:hint="eastAsia" w:ascii="仿宋" w:hAnsi="仿宋" w:eastAsia="仿宋" w:cs="仿宋"/>
          <w:sz w:val="28"/>
          <w:szCs w:val="28"/>
          <w:highlight w:val="none"/>
        </w:rPr>
        <w:t>人员要及时向应急指挥中心</w:t>
      </w:r>
      <w:r>
        <w:rPr>
          <w:rFonts w:hint="eastAsia" w:ascii="仿宋" w:hAnsi="仿宋" w:eastAsia="仿宋" w:cs="仿宋"/>
          <w:sz w:val="28"/>
          <w:szCs w:val="28"/>
          <w:highlight w:val="none"/>
          <w:lang w:eastAsia="zh-CN"/>
        </w:rPr>
        <w:t>汇报</w:t>
      </w:r>
      <w:r>
        <w:rPr>
          <w:rFonts w:hint="eastAsia" w:ascii="仿宋" w:hAnsi="仿宋" w:eastAsia="仿宋" w:cs="仿宋"/>
          <w:sz w:val="28"/>
          <w:szCs w:val="28"/>
          <w:highlight w:val="none"/>
        </w:rPr>
        <w:t>，应急指挥中心启动应急，组织各应急小组准备就绪。</w:t>
      </w:r>
    </w:p>
    <w:p>
      <w:pPr>
        <w:numPr>
          <w:ilvl w:val="0"/>
          <w:numId w:val="0"/>
        </w:numPr>
        <w:spacing w:line="500" w:lineRule="exact"/>
        <w:ind w:leftChars="200"/>
        <w:rPr>
          <w:rFonts w:hint="eastAsia" w:ascii="仿宋" w:hAnsi="仿宋" w:eastAsia="仿宋" w:cs="仿宋"/>
          <w:bCs/>
          <w:sz w:val="28"/>
          <w:szCs w:val="28"/>
          <w:highlight w:val="none"/>
          <w:lang w:val="en-US" w:eastAsia="zh-CN"/>
        </w:rPr>
      </w:pPr>
      <w:r>
        <w:rPr>
          <w:rFonts w:hint="eastAsia" w:ascii="仿宋" w:hAnsi="仿宋" w:eastAsia="仿宋" w:cs="仿宋"/>
          <w:b/>
          <w:sz w:val="28"/>
          <w:szCs w:val="28"/>
          <w:highlight w:val="none"/>
          <w:lang w:eastAsia="zh-CN"/>
        </w:rPr>
        <w:t>（</w:t>
      </w:r>
      <w:r>
        <w:rPr>
          <w:rFonts w:hint="eastAsia" w:ascii="仿宋" w:hAnsi="仿宋" w:eastAsia="仿宋" w:cs="仿宋"/>
          <w:b/>
          <w:sz w:val="28"/>
          <w:szCs w:val="28"/>
          <w:highlight w:val="none"/>
          <w:lang w:val="en-US" w:eastAsia="zh-CN"/>
        </w:rPr>
        <w:t>2</w:t>
      </w:r>
      <w:r>
        <w:rPr>
          <w:rFonts w:hint="eastAsia" w:ascii="仿宋" w:hAnsi="仿宋" w:eastAsia="仿宋" w:cs="仿宋"/>
          <w:b/>
          <w:sz w:val="28"/>
          <w:szCs w:val="28"/>
          <w:highlight w:val="none"/>
          <w:lang w:eastAsia="zh-CN"/>
        </w:rPr>
        <w:t>）</w:t>
      </w:r>
      <w:r>
        <w:rPr>
          <w:rFonts w:hint="eastAsia" w:ascii="仿宋" w:hAnsi="仿宋" w:eastAsia="仿宋" w:cs="仿宋"/>
          <w:b/>
          <w:sz w:val="28"/>
          <w:szCs w:val="28"/>
          <w:highlight w:val="none"/>
        </w:rPr>
        <w:t>应急处置</w:t>
      </w:r>
    </w:p>
    <w:p>
      <w:pPr>
        <w:spacing w:line="500" w:lineRule="exact"/>
        <w:ind w:left="0" w:firstLine="560" w:firstLineChars="200"/>
        <w:rPr>
          <w:rFonts w:hint="eastAsia" w:ascii="仿宋" w:hAnsi="仿宋" w:eastAsia="仿宋" w:cs="仿宋"/>
          <w:bCs/>
          <w:sz w:val="28"/>
          <w:szCs w:val="28"/>
          <w:highlight w:val="none"/>
          <w:lang w:val="en-US" w:eastAsia="zh-CN"/>
        </w:rPr>
      </w:pPr>
      <w:r>
        <w:rPr>
          <w:rFonts w:hint="eastAsia" w:ascii="仿宋" w:hAnsi="仿宋" w:eastAsia="仿宋" w:cs="仿宋"/>
          <w:bCs/>
          <w:sz w:val="28"/>
          <w:szCs w:val="28"/>
          <w:highlight w:val="none"/>
          <w:lang w:val="en-US" w:eastAsia="zh-CN"/>
        </w:rPr>
        <w:t>现场在岗员工或发现者立即通知</w:t>
      </w:r>
      <w:r>
        <w:rPr>
          <w:rFonts w:hint="eastAsia" w:ascii="仿宋" w:hAnsi="仿宋" w:eastAsia="仿宋" w:cs="仿宋"/>
          <w:color w:val="auto"/>
          <w:sz w:val="28"/>
          <w:szCs w:val="28"/>
          <w:highlight w:val="none"/>
          <w:lang w:val="en-US" w:eastAsia="zh-CN"/>
        </w:rPr>
        <w:t>应急中心</w:t>
      </w:r>
      <w:r>
        <w:rPr>
          <w:rFonts w:hint="eastAsia" w:ascii="仿宋" w:hAnsi="仿宋" w:eastAsia="仿宋" w:cs="仿宋"/>
          <w:bCs/>
          <w:sz w:val="28"/>
          <w:szCs w:val="28"/>
          <w:highlight w:val="none"/>
          <w:lang w:val="en-US" w:eastAsia="zh-CN"/>
        </w:rPr>
        <w:t>，</w:t>
      </w:r>
      <w:r>
        <w:rPr>
          <w:rFonts w:hint="eastAsia" w:ascii="仿宋" w:hAnsi="仿宋" w:eastAsia="仿宋" w:cs="仿宋"/>
          <w:color w:val="auto"/>
          <w:sz w:val="28"/>
          <w:szCs w:val="28"/>
          <w:highlight w:val="none"/>
          <w:lang w:val="en-US" w:eastAsia="zh-CN"/>
        </w:rPr>
        <w:t>应急中心</w:t>
      </w:r>
      <w:r>
        <w:rPr>
          <w:rFonts w:hint="eastAsia" w:ascii="仿宋" w:hAnsi="仿宋" w:eastAsia="仿宋" w:cs="仿宋"/>
          <w:bCs/>
          <w:sz w:val="28"/>
          <w:szCs w:val="28"/>
          <w:highlight w:val="none"/>
          <w:lang w:val="en-US" w:eastAsia="zh-CN"/>
        </w:rPr>
        <w:t>应急领导小组视情况，启动应急响应程序，调集各应急小组至事故现场展开援救工作。应急救援指挥中心保持车间、部门及其他单位的信息沟通。各小组具体应急处置措施如下：</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1、治安保卫组：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组织撤离无关人员，设置相应的隔离警示；</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确保消防、救护等应急交通运输的保障；</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实时监控事故救援抢险情况，并报告应急中心。</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2、抢险抢修组：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发生辐射异常的现场，应立即保护现场，现场周边拉起警戒线，禁止其他人员进入辐射污染区。</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3、专家组：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根据突发事故具体情况，提供救援技术支持；</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分析事故原因，制定相应的控制措施。</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4、物资保障组：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接到应急响应指令后，按应急中心的要求，迅速将应急救援物质送至应急行动现场，并做好运输配发工作；保障应急行动中所需的资金。</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5、医疗防疫组：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负责受伤、中毒人员进行救护、转运。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6、监测组：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负责配合监测单位应急监测工作。</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7、事故理赔协调组：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负责事故和应急抢险工作中伤亡人员家属的安抚、理赔、保险等善后工作。</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8、消防组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按照应急领导小组的指令实施现场人员的搜救与消防救援。判断事故现场火灾、危险化学品泄漏的潜在危害，参照公司现场处置方案或专项应急预案实施。</w:t>
      </w:r>
    </w:p>
    <w:p>
      <w:pPr>
        <w:pStyle w:val="6"/>
        <w:bidi w:val="0"/>
        <w:rPr>
          <w:rFonts w:hint="eastAsia" w:ascii="仿宋" w:hAnsi="仿宋" w:eastAsia="仿宋" w:cs="仿宋"/>
          <w:sz w:val="28"/>
          <w:szCs w:val="28"/>
          <w:highlight w:val="none"/>
        </w:rPr>
      </w:pPr>
      <w:bookmarkStart w:id="47" w:name="_Toc8804"/>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.3当放射源周围发生失火时</w:t>
      </w:r>
      <w:bookmarkEnd w:id="47"/>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（1）立即封锁放射源周围区域。</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（2）立即接通水源，对放射源采取局部降温处理，防止放射源钢结构烧毁熔化使密封型放射源脱落甚至密封性破损核素泄漏。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（3）立即上报安全环保部门，必要时上报省级有关主管部门。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（4）若发现密封源脱离源室时，使用放射源当量仪等专用仪器在可疑区域内寻找放射源。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Style w:val="20"/>
        <w:spacing w:before="48"/>
        <w:jc w:val="center"/>
        <w:rPr>
          <w:rFonts w:hint="eastAsia" w:ascii="仿宋" w:hAnsi="仿宋" w:eastAsia="仿宋" w:cs="仿宋"/>
          <w:b/>
          <w:color w:val="000000"/>
          <w:kern w:val="2"/>
          <w:sz w:val="21"/>
          <w:szCs w:val="21"/>
          <w:highlight w:val="none"/>
          <w:lang w:val="en-US" w:eastAsia="zh-CN" w:bidi="ar-SA"/>
        </w:rPr>
      </w:pPr>
      <w:r>
        <w:rPr>
          <w:rFonts w:hint="eastAsia" w:ascii="仿宋" w:hAnsi="仿宋" w:eastAsia="仿宋" w:cs="仿宋"/>
          <w:b/>
          <w:color w:val="000000"/>
          <w:kern w:val="2"/>
          <w:sz w:val="21"/>
          <w:szCs w:val="21"/>
          <w:highlight w:val="none"/>
          <w:lang w:val="en-US" w:eastAsia="zh-CN" w:bidi="ar-SA"/>
        </w:rPr>
        <w:t>表5.4-1辐射事故应急处置卡</w:t>
      </w:r>
    </w:p>
    <w:tbl>
      <w:tblPr>
        <w:tblStyle w:val="15"/>
        <w:tblW w:w="4910" w:type="pct"/>
        <w:jc w:val="center"/>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592"/>
        <w:gridCol w:w="6777"/>
      </w:tblGrid>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9"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名 称</w:t>
            </w:r>
          </w:p>
        </w:tc>
        <w:tc>
          <w:tcPr>
            <w:tcW w:w="4048"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内 容</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5"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可能发生的突发环境事件</w:t>
            </w:r>
          </w:p>
        </w:tc>
        <w:tc>
          <w:tcPr>
            <w:tcW w:w="4048" w:type="pct"/>
            <w:noWrap w:val="0"/>
            <w:vAlign w:val="center"/>
          </w:tcPr>
          <w:p>
            <w:pPr>
              <w:pStyle w:val="21"/>
              <w:spacing w:line="280" w:lineRule="exact"/>
              <w:jc w:val="both"/>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辐射事故</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8" w:hRule="atLeast"/>
          <w:jc w:val="center"/>
        </w:trPr>
        <w:tc>
          <w:tcPr>
            <w:tcW w:w="951" w:type="pct"/>
            <w:noWrap w:val="0"/>
            <w:vAlign w:val="center"/>
          </w:tcPr>
          <w:p>
            <w:pPr>
              <w:pStyle w:val="21"/>
              <w:spacing w:line="280" w:lineRule="exact"/>
              <w:rPr>
                <w:rFonts w:hint="eastAsia" w:ascii="仿宋" w:hAnsi="仿宋" w:eastAsia="仿宋" w:cs="仿宋"/>
                <w:color w:val="000000"/>
                <w:highlight w:val="none"/>
              </w:rPr>
            </w:pPr>
            <w:r>
              <w:rPr>
                <w:rFonts w:hint="eastAsia" w:ascii="仿宋" w:hAnsi="仿宋" w:eastAsia="仿宋" w:cs="仿宋"/>
                <w:b/>
                <w:color w:val="000000"/>
                <w:highlight w:val="none"/>
              </w:rPr>
              <w:t>风险特性</w:t>
            </w:r>
          </w:p>
        </w:tc>
        <w:tc>
          <w:tcPr>
            <w:tcW w:w="4048" w:type="pct"/>
            <w:noWrap w:val="0"/>
            <w:vAlign w:val="top"/>
          </w:tcPr>
          <w:p>
            <w:pPr>
              <w:pStyle w:val="21"/>
              <w:spacing w:line="280" w:lineRule="exact"/>
              <w:jc w:val="left"/>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eastAsia="zh-CN"/>
              </w:rPr>
              <w:t>泄</w:t>
            </w:r>
            <w:r>
              <w:rPr>
                <w:rFonts w:hint="eastAsia" w:ascii="仿宋" w:hAnsi="仿宋" w:eastAsia="仿宋" w:cs="仿宋"/>
                <w:color w:val="000000"/>
                <w:highlight w:val="none"/>
                <w:lang w:val="en-US" w:eastAsia="zh-CN"/>
              </w:rPr>
              <w:t>露后对人体、土壤、地下水产生危害</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1"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应急响应</w:t>
            </w:r>
          </w:p>
        </w:tc>
        <w:tc>
          <w:tcPr>
            <w:tcW w:w="4048" w:type="pct"/>
            <w:noWrap w:val="0"/>
            <w:vAlign w:val="top"/>
          </w:tcPr>
          <w:p>
            <w:pPr>
              <w:pStyle w:val="21"/>
              <w:spacing w:line="280" w:lineRule="exact"/>
              <w:jc w:val="left"/>
              <w:rPr>
                <w:rFonts w:hint="eastAsia" w:ascii="仿宋" w:hAnsi="仿宋" w:eastAsia="仿宋" w:cs="仿宋"/>
                <w:color w:val="000000"/>
                <w:highlight w:val="none"/>
              </w:rPr>
            </w:pPr>
            <w:r>
              <w:rPr>
                <w:rFonts w:hint="eastAsia" w:ascii="仿宋" w:hAnsi="仿宋" w:eastAsia="仿宋" w:cs="仿宋"/>
                <w:color w:val="000000"/>
                <w:kern w:val="0"/>
                <w:highlight w:val="none"/>
                <w:lang w:val="en-US" w:eastAsia="zh-CN"/>
              </w:rPr>
              <w:t>I</w:t>
            </w:r>
            <w:r>
              <w:rPr>
                <w:rFonts w:hint="eastAsia" w:ascii="仿宋" w:hAnsi="仿宋" w:eastAsia="仿宋" w:cs="仿宋"/>
                <w:color w:val="000000"/>
                <w:kern w:val="0"/>
                <w:highlight w:val="none"/>
                <w:lang w:val="en-US"/>
              </w:rPr>
              <w:t>级响应。</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59"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信息报告</w:t>
            </w:r>
          </w:p>
        </w:tc>
        <w:tc>
          <w:tcPr>
            <w:tcW w:w="4048" w:type="pct"/>
            <w:noWrap w:val="0"/>
            <w:vAlign w:val="top"/>
          </w:tcPr>
          <w:p>
            <w:pPr>
              <w:pStyle w:val="21"/>
              <w:spacing w:line="280" w:lineRule="exact"/>
              <w:ind w:firstLine="420" w:firstLineChars="200"/>
              <w:jc w:val="left"/>
              <w:rPr>
                <w:rFonts w:hint="eastAsia" w:ascii="仿宋" w:hAnsi="仿宋" w:eastAsia="仿宋" w:cs="仿宋"/>
                <w:color w:val="000000"/>
                <w:highlight w:val="none"/>
              </w:rPr>
            </w:pPr>
            <w:r>
              <w:rPr>
                <w:rFonts w:hint="eastAsia" w:ascii="仿宋" w:hAnsi="仿宋" w:eastAsia="仿宋" w:cs="仿宋"/>
                <w:color w:val="000000"/>
                <w:highlight w:val="none"/>
                <w:lang w:val="en-US" w:eastAsia="zh-CN"/>
              </w:rPr>
              <w:t>发现人</w:t>
            </w:r>
            <w:r>
              <w:rPr>
                <w:rFonts w:hint="eastAsia" w:ascii="仿宋" w:hAnsi="仿宋" w:eastAsia="仿宋" w:cs="仿宋"/>
                <w:color w:val="000000"/>
                <w:highlight w:val="none"/>
              </w:rPr>
              <w:t>要及时向</w:t>
            </w:r>
            <w:r>
              <w:rPr>
                <w:rFonts w:hint="eastAsia" w:ascii="仿宋" w:hAnsi="仿宋" w:eastAsia="仿宋" w:cs="仿宋"/>
                <w:color w:val="000000"/>
                <w:highlight w:val="none"/>
                <w:lang w:val="en-US" w:eastAsia="zh-CN"/>
              </w:rPr>
              <w:t>当班值长汇报，值长立即向应急指挥办公室汇报，汇报内容为：事故的具体时间、部位、造成的危害、事故处理进行情况等。</w:t>
            </w:r>
            <w:r>
              <w:rPr>
                <w:rFonts w:hint="eastAsia" w:ascii="仿宋" w:hAnsi="仿宋" w:eastAsia="仿宋" w:cs="仿宋"/>
                <w:color w:val="auto"/>
                <w:sz w:val="24"/>
                <w:highlight w:val="none"/>
                <w:lang w:val="en-US" w:eastAsia="zh-CN"/>
              </w:rPr>
              <w:t>应急中心</w:t>
            </w:r>
            <w:r>
              <w:rPr>
                <w:rFonts w:hint="eastAsia" w:ascii="仿宋" w:hAnsi="仿宋" w:eastAsia="仿宋" w:cs="仿宋"/>
                <w:color w:val="000000"/>
                <w:highlight w:val="none"/>
                <w:lang w:val="en-US" w:eastAsia="zh-CN"/>
              </w:rPr>
              <w:t>接到报告，根据报告事故情况，向应急领导小组或副中指挥报告，由应急领导小组或应急领导小组启动一级响应，通知各应急组到位进行应急处理。</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39"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应急处置措施</w:t>
            </w:r>
          </w:p>
        </w:tc>
        <w:tc>
          <w:tcPr>
            <w:tcW w:w="4048" w:type="pct"/>
            <w:noWrap w:val="0"/>
            <w:vAlign w:val="top"/>
          </w:tcPr>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现场在岗员工或发现者立即通知应急中心，应急中心应急领导小组视情况，启动应急响应程序，调集各应急小组至事故现场展开援救工作。应急救援指挥中心保持车间、部门及其他单位的信息沟通。各小组具体应急处置措施如下：</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1治安保卫组：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组织撤离无关人员，设置相应的隔离警示；</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确保消防、救护等应急交通运输的保障；</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实时监控事故救援抢险情况，并报告应急中心。</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2抢险抢修组：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发生辐射异常的现场，应立即保护现场，现场周边拉起警戒线，禁止其他人员进入辐射污染区。</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3专家组：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根据突发事故具体情况，提供救援技术支持；</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分析事故原因，制定相应的控制措施。</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4物资保障组：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接到应急响应指令后，按应急中心的要求，迅速将应急救援物质送至应急行动现场，并做好运输配发工作；保障应急行动中所需的资金。</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5医疗防疫组：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负责受伤、中毒人员进行救护、转运。</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6监测组：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负责配合监测单位应急监测工作。</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7事故理赔协调组：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负责事故和应急抢险工作中伤亡人员家属的安抚、理赔、保险等善后工作。</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8消防组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按照应急领导小组的指令实施现场人员的搜救与消防救援。判断事故现场火灾、危险化学品泄漏的潜在危害，参照公司现场处置方案或专项应急预案实施。</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rPr>
            </w:pPr>
            <w:r>
              <w:rPr>
                <w:rFonts w:hint="eastAsia" w:ascii="仿宋" w:hAnsi="仿宋" w:eastAsia="仿宋" w:cs="仿宋"/>
                <w:color w:val="000000"/>
                <w:highlight w:val="none"/>
                <w:lang w:val="en-US" w:eastAsia="zh-CN"/>
              </w:rPr>
              <w:t>应急行动结束后由抢险抢修组负责后期的洗消工作，应急中心组织调查并总结此次突发环境事件，明确奖惩，整理备案。</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1" w:hRule="atLeast"/>
          <w:jc w:val="center"/>
        </w:trPr>
        <w:tc>
          <w:tcPr>
            <w:tcW w:w="951" w:type="pct"/>
            <w:noWrap w:val="0"/>
            <w:vAlign w:val="center"/>
          </w:tcPr>
          <w:p>
            <w:pPr>
              <w:pStyle w:val="21"/>
              <w:spacing w:line="280" w:lineRule="exact"/>
              <w:rPr>
                <w:rFonts w:hint="eastAsia" w:ascii="仿宋" w:hAnsi="仿宋" w:eastAsia="仿宋" w:cs="仿宋"/>
                <w:color w:val="000000"/>
                <w:highlight w:val="none"/>
              </w:rPr>
            </w:pPr>
            <w:r>
              <w:rPr>
                <w:rFonts w:hint="eastAsia" w:ascii="仿宋" w:hAnsi="仿宋" w:eastAsia="仿宋" w:cs="仿宋"/>
                <w:b/>
                <w:color w:val="000000"/>
                <w:highlight w:val="none"/>
              </w:rPr>
              <w:t>应急责任人</w:t>
            </w:r>
          </w:p>
        </w:tc>
        <w:tc>
          <w:tcPr>
            <w:tcW w:w="4048" w:type="pct"/>
            <w:noWrap w:val="0"/>
            <w:vAlign w:val="top"/>
          </w:tcPr>
          <w:p>
            <w:pPr>
              <w:pStyle w:val="21"/>
              <w:spacing w:line="280" w:lineRule="exact"/>
              <w:jc w:val="both"/>
              <w:rPr>
                <w:rFonts w:hint="eastAsia" w:ascii="仿宋" w:hAnsi="仿宋" w:eastAsia="仿宋" w:cs="仿宋"/>
                <w:color w:val="000000"/>
                <w:highlight w:val="none"/>
              </w:rPr>
            </w:pPr>
            <w:r>
              <w:rPr>
                <w:rFonts w:hint="eastAsia" w:ascii="仿宋" w:hAnsi="仿宋" w:eastAsia="仿宋" w:cs="仿宋"/>
                <w:color w:val="000000"/>
                <w:highlight w:val="none"/>
                <w:lang w:val="en-US" w:eastAsia="zh-CN"/>
              </w:rPr>
              <w:t>应急领导小组</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55" w:hRule="atLeast"/>
          <w:jc w:val="center"/>
        </w:trPr>
        <w:tc>
          <w:tcPr>
            <w:tcW w:w="951" w:type="pct"/>
            <w:noWrap w:val="0"/>
            <w:vAlign w:val="center"/>
          </w:tcPr>
          <w:p>
            <w:pPr>
              <w:pStyle w:val="21"/>
              <w:spacing w:line="280" w:lineRule="exact"/>
              <w:rPr>
                <w:rFonts w:hint="eastAsia" w:ascii="仿宋" w:hAnsi="仿宋" w:eastAsia="仿宋" w:cs="仿宋"/>
                <w:color w:val="000000"/>
                <w:highlight w:val="none"/>
              </w:rPr>
            </w:pPr>
            <w:r>
              <w:rPr>
                <w:rFonts w:hint="eastAsia" w:ascii="仿宋" w:hAnsi="仿宋" w:eastAsia="仿宋" w:cs="仿宋"/>
                <w:b/>
                <w:color w:val="000000"/>
                <w:highlight w:val="none"/>
              </w:rPr>
              <w:t>应急物资</w:t>
            </w:r>
          </w:p>
        </w:tc>
        <w:tc>
          <w:tcPr>
            <w:tcW w:w="4048" w:type="pct"/>
            <w:noWrap w:val="0"/>
            <w:vAlign w:val="center"/>
          </w:tcPr>
          <w:p>
            <w:pPr>
              <w:pageBreakBefore w:val="0"/>
              <w:kinsoku/>
              <w:wordWrap/>
              <w:overflowPunct/>
              <w:topLinePunct w:val="0"/>
              <w:autoSpaceDE w:val="0"/>
              <w:autoSpaceDN w:val="0"/>
              <w:bidi w:val="0"/>
              <w:adjustRightInd w:val="0"/>
              <w:spacing w:line="360" w:lineRule="auto"/>
              <w:jc w:val="both"/>
              <w:rPr>
                <w:rFonts w:hint="eastAsia" w:ascii="仿宋" w:hAnsi="仿宋" w:eastAsia="仿宋" w:cs="仿宋"/>
                <w:color w:val="000000"/>
                <w:highlight w:val="none"/>
              </w:rPr>
            </w:pPr>
            <w:r>
              <w:rPr>
                <w:rFonts w:hint="eastAsia" w:ascii="仿宋" w:hAnsi="仿宋" w:eastAsia="仿宋" w:cs="仿宋"/>
                <w:b w:val="0"/>
                <w:bCs w:val="0"/>
                <w:color w:val="auto"/>
                <w:sz w:val="21"/>
                <w:szCs w:val="21"/>
                <w:highlight w:val="none"/>
                <w:vertAlign w:val="baseline"/>
                <w:lang w:val="en-US" w:eastAsia="zh-CN"/>
              </w:rPr>
              <w:t>铅衣、铅手套、铅围裙、铅屏风、铅帽、铅眼镜、铅围脖、个人剂量计、环境级X、γ剂量率仪、计量仪</w:t>
            </w:r>
          </w:p>
        </w:tc>
      </w:tr>
    </w:tbl>
    <w:p>
      <w:pPr>
        <w:pStyle w:val="5"/>
        <w:bidi w:val="0"/>
        <w:rPr>
          <w:rFonts w:hint="eastAsia" w:ascii="仿宋" w:hAnsi="仿宋" w:eastAsia="仿宋" w:cs="仿宋"/>
          <w:sz w:val="28"/>
          <w:szCs w:val="28"/>
          <w:highlight w:val="none"/>
          <w:lang w:eastAsia="zh-CN"/>
        </w:rPr>
      </w:pPr>
      <w:bookmarkStart w:id="48" w:name="_Toc10949"/>
      <w:bookmarkStart w:id="49" w:name="_Toc30455"/>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6</w:t>
      </w:r>
      <w:r>
        <w:rPr>
          <w:rFonts w:hint="eastAsia" w:ascii="仿宋" w:hAnsi="仿宋" w:eastAsia="仿宋" w:cs="仿宋"/>
          <w:sz w:val="28"/>
          <w:szCs w:val="28"/>
          <w:highlight w:val="none"/>
        </w:rPr>
        <w:t>应急</w:t>
      </w:r>
      <w:r>
        <w:rPr>
          <w:rFonts w:hint="eastAsia" w:ascii="仿宋" w:hAnsi="仿宋" w:eastAsia="仿宋" w:cs="仿宋"/>
          <w:sz w:val="28"/>
          <w:szCs w:val="28"/>
          <w:highlight w:val="none"/>
          <w:lang w:eastAsia="zh-CN"/>
        </w:rPr>
        <w:t>终止</w:t>
      </w:r>
      <w:bookmarkEnd w:id="48"/>
    </w:p>
    <w:p>
      <w:pPr>
        <w:pStyle w:val="6"/>
        <w:bidi w:val="0"/>
        <w:rPr>
          <w:rFonts w:hint="eastAsia" w:ascii="仿宋" w:hAnsi="仿宋" w:eastAsia="仿宋" w:cs="仿宋"/>
          <w:sz w:val="28"/>
          <w:szCs w:val="28"/>
          <w:highlight w:val="none"/>
        </w:rPr>
      </w:pPr>
      <w:bookmarkStart w:id="50" w:name="_Toc12397"/>
      <w:bookmarkStart w:id="51" w:name="_Toc4143"/>
      <w:bookmarkStart w:id="52" w:name="_Toc2865"/>
      <w:bookmarkStart w:id="53" w:name="_Toc28462"/>
      <w:bookmarkStart w:id="54" w:name="_Toc15884"/>
      <w:bookmarkStart w:id="55" w:name="_Toc20345"/>
      <w:bookmarkStart w:id="56" w:name="_Toc7889"/>
      <w:bookmarkStart w:id="57" w:name="_Toc16917"/>
      <w:bookmarkStart w:id="58" w:name="_Toc32308"/>
      <w:bookmarkStart w:id="59" w:name="_Toc29982"/>
      <w:bookmarkStart w:id="60" w:name="_Toc18331"/>
      <w:r>
        <w:rPr>
          <w:rFonts w:hint="eastAsia" w:ascii="仿宋" w:hAnsi="仿宋" w:eastAsia="仿宋" w:cs="仿宋"/>
          <w:sz w:val="28"/>
          <w:szCs w:val="28"/>
          <w:highlight w:val="none"/>
          <w:lang w:val="en-US" w:eastAsia="zh-CN"/>
        </w:rPr>
        <w:t>5.6</w:t>
      </w:r>
      <w:r>
        <w:rPr>
          <w:rFonts w:hint="eastAsia" w:ascii="仿宋" w:hAnsi="仿宋" w:eastAsia="仿宋" w:cs="仿宋"/>
          <w:sz w:val="28"/>
          <w:szCs w:val="28"/>
          <w:highlight w:val="none"/>
        </w:rPr>
        <w:t>.1应急终止条件</w:t>
      </w:r>
      <w:bookmarkEnd w:id="50"/>
      <w:bookmarkEnd w:id="51"/>
      <w:bookmarkEnd w:id="52"/>
      <w:bookmarkEnd w:id="53"/>
      <w:bookmarkEnd w:id="54"/>
      <w:bookmarkEnd w:id="55"/>
      <w:bookmarkEnd w:id="56"/>
      <w:bookmarkEnd w:id="57"/>
      <w:bookmarkEnd w:id="58"/>
      <w:bookmarkEnd w:id="59"/>
      <w:bookmarkEnd w:id="60"/>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当重新进入事故现场人员向应急领导小组通报如下内容，表明现场的应急行动可以终止。</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lang w:eastAsia="zh-CN"/>
        </w:rPr>
      </w:pP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lang w:val="en-US" w:eastAsia="zh-CN"/>
        </w:rPr>
        <w:t>1</w:t>
      </w: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rPr>
        <w:t>已经采取措施，控制住所有的事故点；</w:t>
      </w:r>
      <w:r>
        <w:rPr>
          <w:rFonts w:hint="eastAsia" w:ascii="仿宋" w:hAnsi="仿宋" w:eastAsia="仿宋" w:cs="仿宋"/>
          <w:sz w:val="28"/>
          <w:szCs w:val="28"/>
          <w:highlight w:val="none"/>
          <w:lang w:eastAsia="zh-CN"/>
        </w:rPr>
        <w:t>经检测，辐射量符合相关标准。</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lang w:val="en-US" w:eastAsia="zh-CN"/>
        </w:rPr>
        <w:t>2</w:t>
      </w: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rPr>
        <w:t>事件现场得到控制，事件条件已经消除，环境风险已经消除；环境危害和不利影响基本消除或得到有效控制；事件现场的各种专业应急处置行动已无继续的必要。</w:t>
      </w:r>
    </w:p>
    <w:p>
      <w:pPr>
        <w:pStyle w:val="6"/>
        <w:bidi w:val="0"/>
        <w:rPr>
          <w:rFonts w:hint="eastAsia" w:ascii="仿宋" w:hAnsi="仿宋" w:eastAsia="仿宋" w:cs="仿宋"/>
          <w:sz w:val="28"/>
          <w:szCs w:val="28"/>
          <w:highlight w:val="none"/>
        </w:rPr>
      </w:pPr>
      <w:bookmarkStart w:id="61" w:name="_Toc2721"/>
      <w:bookmarkStart w:id="62" w:name="_Toc18982"/>
      <w:bookmarkStart w:id="63" w:name="_Toc10346"/>
      <w:bookmarkStart w:id="64" w:name="_Toc1938"/>
      <w:bookmarkStart w:id="65" w:name="_Toc28416"/>
      <w:bookmarkStart w:id="66" w:name="_Toc478820618"/>
      <w:bookmarkStart w:id="67" w:name="_Toc25995"/>
      <w:bookmarkStart w:id="68" w:name="_Toc8436"/>
      <w:bookmarkStart w:id="69" w:name="_Toc1560"/>
      <w:bookmarkStart w:id="70" w:name="_Toc19025"/>
      <w:bookmarkStart w:id="71" w:name="_Toc26438"/>
      <w:bookmarkStart w:id="72" w:name="_Toc5471"/>
      <w:r>
        <w:rPr>
          <w:rFonts w:hint="eastAsia" w:ascii="仿宋" w:hAnsi="仿宋" w:eastAsia="仿宋" w:cs="仿宋"/>
          <w:sz w:val="28"/>
          <w:szCs w:val="28"/>
          <w:highlight w:val="none"/>
          <w:lang w:val="en-US" w:eastAsia="zh-CN"/>
        </w:rPr>
        <w:t>5.6</w:t>
      </w:r>
      <w:r>
        <w:rPr>
          <w:rFonts w:hint="eastAsia" w:ascii="仿宋" w:hAnsi="仿宋" w:eastAsia="仿宋" w:cs="仿宋"/>
          <w:sz w:val="28"/>
          <w:szCs w:val="28"/>
          <w:highlight w:val="none"/>
        </w:rPr>
        <w:t>.2应急终止程序</w:t>
      </w:r>
      <w:bookmarkEnd w:id="61"/>
      <w:bookmarkEnd w:id="62"/>
      <w:bookmarkEnd w:id="63"/>
      <w:bookmarkEnd w:id="64"/>
      <w:bookmarkEnd w:id="65"/>
      <w:bookmarkEnd w:id="66"/>
      <w:bookmarkEnd w:id="67"/>
      <w:bookmarkEnd w:id="68"/>
      <w:bookmarkEnd w:id="69"/>
      <w:bookmarkEnd w:id="70"/>
      <w:bookmarkEnd w:id="71"/>
      <w:bookmarkEnd w:id="72"/>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发布人：应急领导小组</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职责：宣布结束应急状态，召集应急救援行动有关人员，安排好事故现场清洁与净化、洗消、事故善后处理、事故调查、保险索赔等工作，把事故情况以及应急救援过程向公司董事会汇报，并向政府相关领导汇报事故情况、应急救援情况。</w:t>
      </w:r>
    </w:p>
    <w:p>
      <w:pPr>
        <w:pStyle w:val="6"/>
        <w:bidi w:val="0"/>
        <w:rPr>
          <w:rFonts w:hint="eastAsia" w:ascii="仿宋" w:hAnsi="仿宋" w:eastAsia="仿宋" w:cs="仿宋"/>
          <w:sz w:val="28"/>
          <w:szCs w:val="28"/>
          <w:highlight w:val="none"/>
        </w:rPr>
      </w:pPr>
      <w:bookmarkStart w:id="73" w:name="_Toc7509"/>
      <w:bookmarkStart w:id="74" w:name="_Toc912"/>
      <w:bookmarkStart w:id="75" w:name="_Toc478820620"/>
      <w:bookmarkStart w:id="76" w:name="_Toc13699"/>
      <w:bookmarkStart w:id="77" w:name="_Toc17149"/>
      <w:bookmarkStart w:id="78" w:name="_Toc30403"/>
      <w:bookmarkStart w:id="79" w:name="_Toc14292"/>
      <w:bookmarkStart w:id="80" w:name="_Toc31151"/>
      <w:bookmarkStart w:id="81" w:name="_Toc24166"/>
      <w:bookmarkStart w:id="82" w:name="_Toc17878"/>
      <w:bookmarkStart w:id="83" w:name="_Toc4118"/>
      <w:bookmarkStart w:id="84" w:name="_Toc24128"/>
      <w:r>
        <w:rPr>
          <w:rFonts w:hint="eastAsia" w:ascii="仿宋" w:hAnsi="仿宋" w:eastAsia="仿宋" w:cs="仿宋"/>
          <w:sz w:val="28"/>
          <w:szCs w:val="28"/>
          <w:highlight w:val="none"/>
          <w:lang w:val="en-US" w:eastAsia="zh-CN"/>
        </w:rPr>
        <w:t>5.6.3</w:t>
      </w:r>
      <w:r>
        <w:rPr>
          <w:rFonts w:hint="eastAsia" w:ascii="仿宋" w:hAnsi="仿宋" w:eastAsia="仿宋" w:cs="仿宋"/>
          <w:sz w:val="28"/>
          <w:szCs w:val="28"/>
          <w:highlight w:val="none"/>
        </w:rPr>
        <w:t>应急终止后的行动</w:t>
      </w:r>
      <w:bookmarkEnd w:id="73"/>
      <w:bookmarkEnd w:id="74"/>
      <w:bookmarkEnd w:id="75"/>
      <w:bookmarkEnd w:id="76"/>
      <w:bookmarkEnd w:id="77"/>
      <w:bookmarkEnd w:id="78"/>
      <w:bookmarkEnd w:id="79"/>
      <w:bookmarkEnd w:id="80"/>
      <w:bookmarkEnd w:id="81"/>
      <w:bookmarkEnd w:id="82"/>
      <w:bookmarkEnd w:id="83"/>
      <w:bookmarkEnd w:id="84"/>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⑴对现场暴露工作人员、应急行动人员和受污染的设施、设备进行洗消清洁；</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⑵调查事件原因，初步评估事件影响、损失、危害范围和程度，查明人员伤亡情况；</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⑶全面检查和维护设施设备，清点救援物资消耗并及时补充，维护保养补充应急设备、设施和仪器；</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⑷对突发环境事件应急行动全过程进行评估，分析预案是否科学、有效，应急组织机构和应急队伍设置是否合理，应急响应和处置程序、方案制定执行是否科学、实用、到位，应急设施设备和物资是否满足需要等；</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⑸编制应急救援工作总结报告，必要时对应急预案进行修订、完善；</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⑹在事件影响范围内进行后续环境质量监测，用以对突发环境事件所产生的环境影响进行后续评估；</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⑺根据监测数据对环境损害进行评估，根据当地政府和环保部门意见和要求采取修复措施。</w:t>
      </w:r>
    </w:p>
    <w:p>
      <w:pPr>
        <w:pStyle w:val="5"/>
        <w:bidi w:val="0"/>
        <w:rPr>
          <w:rFonts w:hint="eastAsia" w:ascii="仿宋" w:hAnsi="仿宋" w:eastAsia="仿宋" w:cs="仿宋"/>
          <w:sz w:val="28"/>
          <w:szCs w:val="28"/>
          <w:highlight w:val="none"/>
        </w:rPr>
      </w:pPr>
      <w:bookmarkStart w:id="85" w:name="_Toc28923"/>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应急资源情况</w:t>
      </w:r>
      <w:bookmarkEnd w:id="49"/>
      <w:bookmarkEnd w:id="85"/>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应急领导小组办公室根据事故等级及类型调动所需应急物资，物资配送中心负责应急物资的运输。</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应急联防资源调动：根据应急联动机制，请求周边协议单位和政府相关部门出动救援力量进行支援。</w:t>
      </w:r>
    </w:p>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bCs/>
          <w:color w:val="auto"/>
          <w:sz w:val="21"/>
          <w:szCs w:val="21"/>
          <w:highlight w:val="none"/>
          <w:lang w:val="en-US" w:eastAsia="zh-CN"/>
        </w:rPr>
      </w:pPr>
      <w:r>
        <w:rPr>
          <w:rFonts w:hint="eastAsia" w:ascii="仿宋" w:hAnsi="仿宋" w:eastAsia="仿宋" w:cs="仿宋"/>
          <w:b/>
          <w:bCs/>
          <w:color w:val="auto"/>
          <w:sz w:val="21"/>
          <w:szCs w:val="21"/>
          <w:highlight w:val="none"/>
          <w:lang w:val="en-US" w:eastAsia="zh-CN"/>
        </w:rPr>
        <w:t>表5.7-1 应急物资表</w:t>
      </w:r>
    </w:p>
    <w:tbl>
      <w:tblPr>
        <w:tblStyle w:val="1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2865"/>
        <w:gridCol w:w="2248"/>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序号</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应急物资</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型号</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数量（核实）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1</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铅衣</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1000×600mm（0.35mmpd)</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铅手套</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分指型（0.5mmpd)</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3</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铅围裙</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轻型SS（0.35mmpd)</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4</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铅眼镜</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通用型</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5</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铅围脖</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异型围领（0.35mmpd)</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6</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个人剂量计</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TLD-469</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7</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环境级X、γ剂量率仪</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LTM2020</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bl>
    <w:p>
      <w:pPr>
        <w:jc w:val="left"/>
        <w:rPr>
          <w:rFonts w:hint="eastAsia" w:ascii="仿宋" w:hAnsi="仿宋" w:eastAsia="仿宋" w:cs="仿宋"/>
          <w:highlight w:val="none"/>
        </w:rPr>
      </w:pPr>
      <w:r>
        <w:rPr>
          <w:rFonts w:hint="eastAsia" w:ascii="仿宋" w:hAnsi="仿宋" w:eastAsia="仿宋" w:cs="仿宋"/>
          <w:sz w:val="21"/>
          <w:highlight w:val="none"/>
        </w:rPr>
        <mc:AlternateContent>
          <mc:Choice Requires="wps">
            <w:drawing>
              <wp:anchor distT="0" distB="0" distL="114300" distR="114300" simplePos="0" relativeHeight="251668480" behindDoc="0" locked="0" layoutInCell="1" allowOverlap="1">
                <wp:simplePos x="0" y="0"/>
                <wp:positionH relativeFrom="column">
                  <wp:posOffset>3853180</wp:posOffset>
                </wp:positionH>
                <wp:positionV relativeFrom="paragraph">
                  <wp:posOffset>1341120</wp:posOffset>
                </wp:positionV>
                <wp:extent cx="1350010" cy="339090"/>
                <wp:effectExtent l="0" t="0" r="0" b="0"/>
                <wp:wrapNone/>
                <wp:docPr id="135" name="文本框 135"/>
                <wp:cNvGraphicFramePr/>
                <a:graphic xmlns:a="http://schemas.openxmlformats.org/drawingml/2006/main">
                  <a:graphicData uri="http://schemas.microsoft.com/office/word/2010/wordprocessingShape">
                    <wps:wsp>
                      <wps:cNvSpPr txBox="1"/>
                      <wps:spPr>
                        <a:xfrm>
                          <a:off x="5461000" y="6984365"/>
                          <a:ext cx="1350010" cy="3390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4pt;margin-top:105.6pt;height:26.7pt;width:106.3pt;z-index:251668480;mso-width-relative:page;mso-height-relative:page;" filled="f" stroked="f" coordsize="21600,21600" o:gfxdata="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86trP2wAAAAsBAAAPAAAAAAAA&#10;AAEAIAAAACIAAABkcnMvZG93bnJldi54bWxQSwECFAAUAAAACACHTuJAkQ9nnUgCAAB2BAAADgAA&#10;AAAAAAABACAAAAAqAQAAZHJzL2Uyb0RvYy54bWxQSwUGAAAAAAYABgBZAQAA5AUAAAAA&#10;">
                <v:fill on="f" focussize="0,0"/>
                <v:stroke on="f" weight="0.5pt"/>
                <v:imagedata o:title=""/>
                <o:lock v:ext="edit" aspectratio="f"/>
                <v:textbox>
                  <w:txbxContent>
                    <w:p/>
                  </w:txbxContent>
                </v:textbox>
              </v:shape>
            </w:pict>
          </mc:Fallback>
        </mc:AlternateContent>
      </w: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r>
        <w:rPr>
          <w:rFonts w:hint="eastAsia" w:ascii="仿宋" w:hAnsi="仿宋" w:eastAsia="仿宋" w:cs="仿宋"/>
          <w:highlight w:val="none"/>
        </w:rPr>
        <w:drawing>
          <wp:anchor distT="0" distB="0" distL="114300" distR="114300" simplePos="0" relativeHeight="251666432" behindDoc="0" locked="0" layoutInCell="1" allowOverlap="1">
            <wp:simplePos x="0" y="0"/>
            <wp:positionH relativeFrom="column">
              <wp:posOffset>-212725</wp:posOffset>
            </wp:positionH>
            <wp:positionV relativeFrom="paragraph">
              <wp:posOffset>363220</wp:posOffset>
            </wp:positionV>
            <wp:extent cx="3264535" cy="2635885"/>
            <wp:effectExtent l="0" t="0" r="12065" b="12065"/>
            <wp:wrapNone/>
            <wp:docPr id="123" name="图片 2" descr="IMG_20170215_11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 descr="IMG_20170215_112650"/>
                    <pic:cNvPicPr>
                      <a:picLocks noChangeAspect="1"/>
                    </pic:cNvPicPr>
                  </pic:nvPicPr>
                  <pic:blipFill>
                    <a:blip r:embed="rId43"/>
                    <a:srcRect l="13869" t="2715" b="5229"/>
                    <a:stretch>
                      <a:fillRect/>
                    </a:stretch>
                  </pic:blipFill>
                  <pic:spPr>
                    <a:xfrm rot="5400000">
                      <a:off x="0" y="0"/>
                      <a:ext cx="3264535" cy="2635885"/>
                    </a:xfrm>
                    <a:prstGeom prst="rect">
                      <a:avLst/>
                    </a:prstGeom>
                    <a:noFill/>
                    <a:ln>
                      <a:noFill/>
                    </a:ln>
                  </pic:spPr>
                </pic:pic>
              </a:graphicData>
            </a:graphic>
          </wp:anchor>
        </w:drawing>
      </w:r>
      <w:r>
        <w:rPr>
          <w:rFonts w:hint="eastAsia" w:ascii="仿宋" w:hAnsi="仿宋" w:eastAsia="仿宋" w:cs="仿宋"/>
          <w:highlight w:val="none"/>
        </w:rPr>
        <w:drawing>
          <wp:anchor distT="0" distB="0" distL="114300" distR="114300" simplePos="0" relativeHeight="251667456" behindDoc="0" locked="0" layoutInCell="1" allowOverlap="1">
            <wp:simplePos x="0" y="0"/>
            <wp:positionH relativeFrom="column">
              <wp:posOffset>2828925</wp:posOffset>
            </wp:positionH>
            <wp:positionV relativeFrom="paragraph">
              <wp:posOffset>385445</wp:posOffset>
            </wp:positionV>
            <wp:extent cx="3244215" cy="2578100"/>
            <wp:effectExtent l="0" t="0" r="12700" b="13335"/>
            <wp:wrapNone/>
            <wp:docPr id="133" name="图片 4" descr="mmexport150474806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descr="mmexport1504748064636"/>
                    <pic:cNvPicPr>
                      <a:picLocks noChangeAspect="1"/>
                    </pic:cNvPicPr>
                  </pic:nvPicPr>
                  <pic:blipFill>
                    <a:blip r:embed="rId44"/>
                    <a:stretch>
                      <a:fillRect/>
                    </a:stretch>
                  </pic:blipFill>
                  <pic:spPr>
                    <a:xfrm rot="5400000">
                      <a:off x="0" y="0"/>
                      <a:ext cx="3244215" cy="2578100"/>
                    </a:xfrm>
                    <a:prstGeom prst="rect">
                      <a:avLst/>
                    </a:prstGeom>
                    <a:noFill/>
                    <a:ln>
                      <a:noFill/>
                    </a:ln>
                  </pic:spPr>
                </pic:pic>
              </a:graphicData>
            </a:graphic>
          </wp:anchor>
        </w:drawing>
      </w: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r>
        <w:rPr>
          <w:rFonts w:hint="eastAsia" w:ascii="仿宋" w:hAnsi="仿宋" w:eastAsia="仿宋" w:cs="仿宋"/>
          <w:highlight w:val="none"/>
        </w:rPr>
        <w:t xml:space="preserve"> </w:t>
      </w:r>
    </w:p>
    <w:p>
      <w:pPr>
        <w:ind w:firstLine="1205" w:firstLineChars="500"/>
        <w:jc w:val="left"/>
        <w:rPr>
          <w:rFonts w:hint="eastAsia" w:ascii="仿宋" w:hAnsi="仿宋" w:eastAsia="仿宋"/>
          <w:b/>
          <w:bCs/>
          <w:color w:val="000000"/>
          <w:sz w:val="24"/>
          <w:lang w:val="en-US" w:eastAsia="zh-CN"/>
        </w:rPr>
      </w:pPr>
    </w:p>
    <w:p>
      <w:pPr>
        <w:ind w:firstLine="1205" w:firstLineChars="500"/>
        <w:jc w:val="left"/>
        <w:rPr>
          <w:rFonts w:hint="default" w:eastAsia="仿宋"/>
          <w:lang w:val="en-US" w:eastAsia="zh-CN"/>
        </w:rPr>
      </w:pPr>
      <w:r>
        <w:rPr>
          <w:rFonts w:hint="eastAsia" w:ascii="仿宋" w:hAnsi="仿宋" w:eastAsia="仿宋"/>
          <w:b/>
          <w:bCs/>
          <w:color w:val="000000"/>
          <w:sz w:val="24"/>
          <w:lang w:val="en-US" w:eastAsia="zh-CN"/>
        </w:rPr>
        <w:t>辐射</w:t>
      </w:r>
      <w:r>
        <w:rPr>
          <w:rFonts w:hint="eastAsia" w:ascii="仿宋" w:hAnsi="仿宋" w:eastAsia="仿宋"/>
          <w:b/>
          <w:bCs/>
          <w:color w:val="000000"/>
          <w:sz w:val="24"/>
        </w:rPr>
        <w:t>剂量监测仪</w:t>
      </w:r>
      <w:r>
        <w:rPr>
          <w:rFonts w:hint="eastAsia" w:ascii="仿宋" w:hAnsi="仿宋" w:eastAsia="仿宋"/>
          <w:b/>
          <w:bCs/>
          <w:color w:val="000000"/>
          <w:sz w:val="24"/>
          <w:lang w:val="en-US" w:eastAsia="zh-CN"/>
        </w:rPr>
        <w:t xml:space="preserve">                               </w:t>
      </w:r>
      <w:r>
        <w:rPr>
          <w:rFonts w:hint="eastAsia" w:ascii="仿宋" w:hAnsi="仿宋" w:eastAsia="仿宋" w:cs="仿宋"/>
          <w:b/>
          <w:bCs/>
          <w:color w:val="000000"/>
          <w:sz w:val="24"/>
          <w:highlight w:val="none"/>
        </w:rPr>
        <w:t>防辐射铅服</w:t>
      </w:r>
    </w:p>
    <w:p>
      <w:pPr>
        <w:ind w:left="0" w:leftChars="0" w:firstLine="1205" w:firstLineChars="500"/>
        <w:rPr>
          <w:rFonts w:hint="eastAsia" w:ascii="仿宋" w:hAnsi="仿宋" w:eastAsia="仿宋" w:cs="仿宋"/>
          <w:b/>
          <w:bCs/>
          <w:color w:val="000000"/>
          <w:sz w:val="24"/>
          <w:highlight w:val="none"/>
          <w:lang w:val="en-US" w:eastAsia="zh-CN"/>
        </w:rPr>
      </w:pPr>
      <w:r>
        <w:rPr>
          <w:rFonts w:hint="eastAsia" w:ascii="仿宋" w:hAnsi="仿宋" w:eastAsia="仿宋" w:cs="仿宋"/>
          <w:b/>
          <w:bCs/>
          <w:color w:val="000000"/>
          <w:sz w:val="24"/>
          <w:highlight w:val="none"/>
        </w:rPr>
        <w:t xml:space="preserve">                    </w:t>
      </w:r>
      <w:r>
        <w:rPr>
          <w:rFonts w:hint="eastAsia" w:ascii="仿宋" w:hAnsi="仿宋" w:eastAsia="仿宋" w:cs="仿宋"/>
          <w:b/>
          <w:bCs/>
          <w:color w:val="000000"/>
          <w:sz w:val="24"/>
          <w:highlight w:val="none"/>
          <w:lang w:val="en-US" w:eastAsia="zh-CN"/>
        </w:rPr>
        <w:t xml:space="preserve">                      </w:t>
      </w:r>
    </w:p>
    <w:p>
      <w:pPr>
        <w:pStyle w:val="2"/>
        <w:rPr>
          <w:rFonts w:hint="eastAsia" w:ascii="仿宋" w:hAnsi="仿宋" w:eastAsia="仿宋" w:cs="仿宋"/>
          <w:b/>
          <w:bCs/>
          <w:color w:val="000000"/>
          <w:sz w:val="24"/>
          <w:highlight w:val="none"/>
          <w:lang w:val="en-US" w:eastAsia="zh-CN"/>
        </w:rPr>
      </w:pPr>
    </w:p>
    <w:p>
      <w:pPr>
        <w:rPr>
          <w:rFonts w:hint="eastAsia" w:ascii="仿宋" w:hAnsi="仿宋" w:eastAsia="仿宋" w:cs="仿宋"/>
          <w:b/>
          <w:bCs/>
          <w:color w:val="000000"/>
          <w:sz w:val="24"/>
          <w:highlight w:val="none"/>
          <w:lang w:val="en-US" w:eastAsia="zh-CN"/>
        </w:rPr>
      </w:pPr>
      <w:r>
        <w:rPr>
          <w:rFonts w:hint="eastAsia" w:ascii="仿宋" w:hAnsi="仿宋" w:eastAsia="仿宋" w:cs="仿宋"/>
          <w:b/>
          <w:bCs/>
          <w:color w:val="000000"/>
          <w:sz w:val="24"/>
          <w:highlight w:val="none"/>
          <w:lang w:val="en-US" w:eastAsia="zh-CN"/>
        </w:rPr>
        <w:drawing>
          <wp:inline distT="0" distB="0" distL="114300" distR="114300">
            <wp:extent cx="5755640" cy="2372995"/>
            <wp:effectExtent l="0" t="0" r="16510" b="8255"/>
            <wp:docPr id="37" name="图片 37" descr="2ee9921b8fa562f9f062285a2f49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ee9921b8fa562f9f062285a2f494792"/>
                    <pic:cNvPicPr>
                      <a:picLocks noChangeAspect="1"/>
                    </pic:cNvPicPr>
                  </pic:nvPicPr>
                  <pic:blipFill>
                    <a:blip r:embed="rId45"/>
                    <a:stretch>
                      <a:fillRect/>
                    </a:stretch>
                  </pic:blipFill>
                  <pic:spPr>
                    <a:xfrm>
                      <a:off x="0" y="0"/>
                      <a:ext cx="5755640" cy="2372995"/>
                    </a:xfrm>
                    <a:prstGeom prst="rect">
                      <a:avLst/>
                    </a:prstGeom>
                  </pic:spPr>
                </pic:pic>
              </a:graphicData>
            </a:graphic>
          </wp:inline>
        </w:drawing>
      </w:r>
    </w:p>
    <w:p>
      <w:pPr>
        <w:pStyle w:val="2"/>
        <w:rPr>
          <w:rFonts w:hint="eastAsia" w:ascii="仿宋" w:hAnsi="仿宋" w:eastAsia="仿宋" w:cs="仿宋"/>
          <w:b/>
          <w:bCs/>
          <w:color w:val="000000"/>
          <w:sz w:val="24"/>
          <w:highlight w:val="none"/>
          <w:lang w:val="en-US" w:eastAsia="zh-CN"/>
        </w:rPr>
      </w:pPr>
    </w:p>
    <w:p>
      <w:pPr>
        <w:rPr>
          <w:rFonts w:hint="eastAsia"/>
        </w:rPr>
      </w:pPr>
    </w:p>
    <w:p>
      <w:pPr>
        <w:jc w:val="center"/>
        <w:rPr>
          <w:rFonts w:hint="eastAsia" w:ascii="仿宋" w:hAnsi="仿宋" w:eastAsia="仿宋" w:cs="仿宋"/>
          <w:b/>
          <w:bCs/>
          <w:color w:val="000000"/>
          <w:sz w:val="24"/>
          <w:highlight w:val="none"/>
        </w:rPr>
      </w:pPr>
      <w:r>
        <w:rPr>
          <w:rFonts w:hint="eastAsia" w:ascii="仿宋" w:hAnsi="仿宋" w:eastAsia="仿宋" w:cs="仿宋"/>
          <w:b/>
          <w:bCs/>
          <w:color w:val="000000"/>
          <w:sz w:val="24"/>
          <w:highlight w:val="none"/>
        </w:rPr>
        <w:t>个人剂量片</w:t>
      </w:r>
    </w:p>
    <w:p>
      <w:pPr>
        <w:jc w:val="center"/>
        <w:rPr>
          <w:rFonts w:hint="eastAsia" w:ascii="仿宋" w:hAnsi="仿宋" w:eastAsia="仿宋" w:cs="仿宋"/>
          <w:b/>
          <w:bCs/>
          <w:color w:val="000000"/>
          <w:sz w:val="24"/>
          <w:highlight w:val="none"/>
          <w:lang w:val="en-US" w:eastAsia="zh-CN"/>
        </w:rPr>
      </w:pPr>
    </w:p>
    <w:p>
      <w:pPr>
        <w:jc w:val="center"/>
        <w:rPr>
          <w:rFonts w:hint="eastAsia" w:ascii="仿宋" w:hAnsi="仿宋" w:eastAsia="仿宋" w:cs="仿宋"/>
          <w:b/>
          <w:bCs/>
          <w:color w:val="000000"/>
          <w:sz w:val="24"/>
          <w:highlight w:val="none"/>
          <w:lang w:val="en-US" w:eastAsia="zh-CN"/>
        </w:rPr>
      </w:pPr>
      <w:r>
        <w:rPr>
          <w:rFonts w:hint="eastAsia" w:ascii="仿宋" w:hAnsi="仿宋" w:eastAsia="仿宋" w:cs="仿宋"/>
          <w:b/>
          <w:bCs/>
          <w:color w:val="000000"/>
          <w:sz w:val="24"/>
          <w:highlight w:val="none"/>
          <w:lang w:val="en-US" w:eastAsia="zh-CN"/>
        </w:rPr>
        <w:t>图5.6-1  防护监测措施</w:t>
      </w:r>
    </w:p>
    <w:p>
      <w:pPr>
        <w:rPr>
          <w:rFonts w:hint="eastAsia" w:ascii="仿宋" w:hAnsi="仿宋" w:eastAsia="仿宋" w:cs="仿宋"/>
          <w:highlight w:val="none"/>
          <w:lang w:val="en-US" w:eastAsia="zh-CN"/>
        </w:rPr>
      </w:pPr>
      <w:r>
        <w:rPr>
          <w:rFonts w:hint="eastAsia" w:ascii="仿宋" w:hAnsi="仿宋" w:eastAsia="仿宋" w:cs="仿宋"/>
          <w:highlight w:val="none"/>
          <w:lang w:val="en-US" w:eastAsia="zh-CN"/>
        </w:rPr>
        <w:br w:type="page"/>
      </w:r>
    </w:p>
    <w:p>
      <w:pPr>
        <w:pStyle w:val="4"/>
        <w:bidi w:val="0"/>
        <w:jc w:val="center"/>
        <w:rPr>
          <w:rFonts w:hint="eastAsia" w:ascii="仿宋" w:hAnsi="仿宋" w:eastAsia="仿宋" w:cs="仿宋"/>
          <w:highlight w:val="none"/>
        </w:rPr>
      </w:pPr>
      <w:bookmarkStart w:id="86" w:name="_Toc6792"/>
      <w:bookmarkStart w:id="87" w:name="_Toc14156"/>
      <w:bookmarkStart w:id="88" w:name="_Toc23573"/>
      <w:bookmarkStart w:id="89" w:name="_Toc3073"/>
      <w:bookmarkStart w:id="90" w:name="_Toc30221"/>
      <w:r>
        <w:rPr>
          <w:rFonts w:hint="eastAsia" w:ascii="仿宋" w:hAnsi="仿宋" w:eastAsia="仿宋" w:cs="仿宋"/>
          <w:highlight w:val="none"/>
          <w:lang w:val="en-US" w:eastAsia="zh-CN"/>
        </w:rPr>
        <w:t>六、</w:t>
      </w:r>
      <w:r>
        <w:rPr>
          <w:rFonts w:hint="eastAsia" w:ascii="仿宋" w:hAnsi="仿宋" w:eastAsia="仿宋" w:cs="仿宋"/>
          <w:highlight w:val="none"/>
        </w:rPr>
        <w:t>后期处置</w:t>
      </w:r>
      <w:bookmarkEnd w:id="86"/>
      <w:bookmarkEnd w:id="87"/>
      <w:bookmarkEnd w:id="88"/>
      <w:bookmarkEnd w:id="89"/>
      <w:bookmarkEnd w:id="90"/>
    </w:p>
    <w:p>
      <w:pPr>
        <w:pStyle w:val="5"/>
        <w:bidi w:val="0"/>
        <w:rPr>
          <w:rFonts w:hint="eastAsia" w:ascii="仿宋" w:hAnsi="仿宋" w:eastAsia="仿宋" w:cs="仿宋"/>
          <w:sz w:val="28"/>
          <w:szCs w:val="28"/>
          <w:highlight w:val="none"/>
        </w:rPr>
      </w:pPr>
      <w:bookmarkStart w:id="91" w:name="_Toc478820622"/>
      <w:bookmarkStart w:id="92" w:name="_Toc6260"/>
      <w:bookmarkStart w:id="93" w:name="_Toc27526"/>
      <w:bookmarkStart w:id="94" w:name="_Toc21023"/>
      <w:bookmarkStart w:id="95" w:name="_Toc13397"/>
      <w:bookmarkStart w:id="96" w:name="_Toc25641"/>
      <w:bookmarkStart w:id="97" w:name="_Toc9345"/>
      <w:bookmarkStart w:id="98" w:name="_Toc4749"/>
      <w:bookmarkStart w:id="99" w:name="_Toc1600"/>
      <w:bookmarkStart w:id="100" w:name="_Toc17628"/>
      <w:bookmarkStart w:id="101" w:name="_Toc27970"/>
      <w:bookmarkStart w:id="102" w:name="_Toc18288"/>
      <w:bookmarkStart w:id="103" w:name="_Toc10728"/>
      <w:bookmarkStart w:id="104" w:name="_Toc32187"/>
      <w:bookmarkStart w:id="105" w:name="_Toc31745"/>
      <w:r>
        <w:rPr>
          <w:rFonts w:hint="eastAsia" w:ascii="仿宋" w:hAnsi="仿宋" w:eastAsia="仿宋" w:cs="仿宋"/>
          <w:sz w:val="28"/>
          <w:szCs w:val="28"/>
          <w:highlight w:val="none"/>
          <w:lang w:val="en-US" w:eastAsia="zh-CN"/>
        </w:rPr>
        <w:t>6</w:t>
      </w:r>
      <w:r>
        <w:rPr>
          <w:rFonts w:hint="eastAsia" w:ascii="仿宋" w:hAnsi="仿宋" w:eastAsia="仿宋" w:cs="仿宋"/>
          <w:sz w:val="28"/>
          <w:szCs w:val="28"/>
          <w:highlight w:val="none"/>
        </w:rPr>
        <w:t>.1善后处置</w:t>
      </w:r>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⑴</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应积极组织进行突发环境事件现场清理工作，使事发现场恢复到相对稳定、安全的基本状态，防止发生二次污染事故。由</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责成各部门逐级宣布取消应急状态，恢复正常工作。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⑵在突发环境事件中致病、致残、死亡的人员，给予相应的补助和抚恤。</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⑶对提供安置场所、应急物资的所有人员给予适当补偿。</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⑷做好疫病防治工作和环境污染的消除工作，以尽快恢复稳定工作、生活秩序。</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⑸组织专家对突发环境事件中长期环境影响进行评估，提出受污染环境进行恢复的建议，并开展环境恢复工作。</w:t>
      </w:r>
    </w:p>
    <w:p>
      <w:pPr>
        <w:pStyle w:val="5"/>
        <w:bidi w:val="0"/>
        <w:rPr>
          <w:rFonts w:hint="eastAsia" w:ascii="仿宋" w:hAnsi="仿宋" w:eastAsia="仿宋" w:cs="仿宋"/>
          <w:sz w:val="28"/>
          <w:szCs w:val="28"/>
          <w:highlight w:val="none"/>
        </w:rPr>
      </w:pPr>
      <w:bookmarkStart w:id="106" w:name="_Toc3472"/>
      <w:bookmarkStart w:id="107" w:name="_Toc10669"/>
      <w:bookmarkStart w:id="108" w:name="_Toc29443"/>
      <w:bookmarkStart w:id="109" w:name="_Toc20518"/>
      <w:bookmarkStart w:id="110" w:name="_Toc7865"/>
      <w:bookmarkStart w:id="111" w:name="_Toc15365"/>
      <w:bookmarkStart w:id="112" w:name="_Toc27698"/>
      <w:bookmarkStart w:id="113" w:name="_Toc13380"/>
      <w:bookmarkStart w:id="114" w:name="_Toc9198"/>
      <w:bookmarkStart w:id="115" w:name="_Toc21919"/>
      <w:bookmarkStart w:id="116" w:name="_Toc10331"/>
      <w:bookmarkStart w:id="117" w:name="_Toc30194"/>
      <w:bookmarkStart w:id="118" w:name="_Toc478820623"/>
      <w:bookmarkStart w:id="119" w:name="_Toc26895"/>
      <w:bookmarkStart w:id="120" w:name="_Toc24690"/>
      <w:r>
        <w:rPr>
          <w:rFonts w:hint="eastAsia" w:ascii="仿宋" w:hAnsi="仿宋" w:eastAsia="仿宋" w:cs="仿宋"/>
          <w:sz w:val="28"/>
          <w:szCs w:val="28"/>
          <w:highlight w:val="none"/>
          <w:lang w:val="en-US" w:eastAsia="zh-CN"/>
        </w:rPr>
        <w:t>6</w:t>
      </w:r>
      <w:r>
        <w:rPr>
          <w:rFonts w:hint="eastAsia" w:ascii="仿宋" w:hAnsi="仿宋" w:eastAsia="仿宋" w:cs="仿宋"/>
          <w:sz w:val="28"/>
          <w:szCs w:val="28"/>
          <w:highlight w:val="none"/>
        </w:rPr>
        <w:t>.2保险</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建立工伤保险管理制度，救援为高危、高风险工作，按隶属关系，公司应每年统一为环境保护应急工作人员办理意外伤害保险。事故灾难发生后，工伤保险经办机构应及时派人开展应急救援人员和受灾人员的保险受理、赔付工作，提供经济补偿和实行社会化管理服务，及时按有关规定办理环境事故保险。</w:t>
      </w:r>
    </w:p>
    <w:p>
      <w:pPr>
        <w:pStyle w:val="5"/>
        <w:bidi w:val="0"/>
        <w:rPr>
          <w:rFonts w:hint="eastAsia" w:ascii="仿宋" w:hAnsi="仿宋" w:eastAsia="仿宋" w:cs="仿宋"/>
          <w:sz w:val="28"/>
          <w:szCs w:val="28"/>
          <w:highlight w:val="none"/>
        </w:rPr>
      </w:pPr>
      <w:bookmarkStart w:id="121" w:name="_Toc1322"/>
      <w:bookmarkStart w:id="122" w:name="_Toc26141"/>
      <w:r>
        <w:rPr>
          <w:rFonts w:hint="eastAsia" w:ascii="仿宋" w:hAnsi="仿宋" w:eastAsia="仿宋" w:cs="仿宋"/>
          <w:sz w:val="28"/>
          <w:szCs w:val="28"/>
          <w:highlight w:val="none"/>
          <w:lang w:val="en-US" w:eastAsia="zh-CN"/>
        </w:rPr>
        <w:t>6</w:t>
      </w:r>
      <w:r>
        <w:rPr>
          <w:rFonts w:hint="eastAsia" w:ascii="仿宋" w:hAnsi="仿宋" w:eastAsia="仿宋" w:cs="仿宋"/>
          <w:sz w:val="28"/>
          <w:szCs w:val="28"/>
          <w:highlight w:val="none"/>
        </w:rPr>
        <w:t>.3</w:t>
      </w:r>
      <w:bookmarkStart w:id="123" w:name="_Toc428970942"/>
      <w:r>
        <w:rPr>
          <w:rFonts w:hint="eastAsia" w:ascii="仿宋" w:hAnsi="仿宋" w:eastAsia="仿宋" w:cs="仿宋"/>
          <w:sz w:val="28"/>
          <w:szCs w:val="28"/>
          <w:highlight w:val="none"/>
        </w:rPr>
        <w:t>调查与评估</w:t>
      </w:r>
      <w:bookmarkEnd w:id="121"/>
      <w:bookmarkEnd w:id="122"/>
      <w:bookmarkEnd w:id="123"/>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⑴应急终止后，</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应当配合当地政府及环保部门抓紧进行现场调查取证工作，全面收集有关事故发生的原因，危害及其损失等方面的证据和资料，必要时要组织有关部门和专业技术人员进行技术鉴定，对于涉及刑事犯罪的，应当请求公安司法部门介入和参与调查取证工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⑵由</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组织有关部门、单位和专家，会同事发地人民政府组织实施，评价的基本依据：</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①环境应急过程纪录；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②现场处置组及各专业应急救援队伍的总结报告；</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③现场应急指挥部掌握的应急情况；</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④环境应急救援行动的实际效果及产生的社会影响；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⑤公众的反映等。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得出的主要结论应为：</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①环境事件等级；</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②环境应急总任务及部分任务完成情况；</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③经济损失情况；</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④是否符合保护公众、保护环境的总要求；</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⑤采取的重要防护措施与方法是否得当；</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⑥出动环境应急队伍的规模、仪器装备的使用、环境应急程度与速度是否与任务相适应；</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⑦环境应急处置中对利益与代价、风险、困难关系的处理是否科学合理；</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⑧造成的长期环境影响；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⑨发布的公告及公布信息的内容是否真实，时机是否得当，对公众心理产生的何种影响；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⑩成功或失败的典型事例及经验总结。</w:t>
      </w:r>
    </w:p>
    <w:p>
      <w:pPr>
        <w:rPr>
          <w:rFonts w:hint="eastAsia" w:ascii="仿宋" w:hAnsi="仿宋" w:eastAsia="仿宋" w:cs="仿宋"/>
          <w:highlight w:val="none"/>
        </w:rPr>
      </w:pPr>
      <w:r>
        <w:rPr>
          <w:rFonts w:hint="eastAsia" w:ascii="仿宋" w:hAnsi="仿宋" w:eastAsia="仿宋" w:cs="仿宋"/>
          <w:highlight w:val="none"/>
        </w:rPr>
        <w:br w:type="page"/>
      </w:r>
    </w:p>
    <w:p>
      <w:pPr>
        <w:pStyle w:val="4"/>
        <w:bidi w:val="0"/>
        <w:jc w:val="center"/>
        <w:rPr>
          <w:rFonts w:hint="eastAsia" w:ascii="仿宋" w:hAnsi="仿宋" w:eastAsia="仿宋" w:cs="仿宋"/>
          <w:highlight w:val="none"/>
        </w:rPr>
      </w:pPr>
      <w:bookmarkStart w:id="124" w:name="_Toc10838"/>
      <w:bookmarkStart w:id="125" w:name="_Toc13152"/>
      <w:bookmarkStart w:id="126" w:name="_Toc21490"/>
      <w:bookmarkStart w:id="127" w:name="_Toc5637"/>
      <w:bookmarkStart w:id="128" w:name="_Toc21957"/>
      <w:bookmarkStart w:id="129" w:name="_Toc17088"/>
      <w:bookmarkStart w:id="130" w:name="_Toc478820625"/>
      <w:bookmarkStart w:id="131" w:name="_Toc28765"/>
      <w:bookmarkStart w:id="132" w:name="_Toc1874"/>
      <w:bookmarkStart w:id="133" w:name="_Toc28520"/>
      <w:bookmarkStart w:id="134" w:name="_Toc25859"/>
      <w:bookmarkStart w:id="135" w:name="_Toc19474"/>
      <w:bookmarkStart w:id="136" w:name="_Toc1371"/>
      <w:bookmarkStart w:id="137" w:name="_Toc25880"/>
      <w:bookmarkStart w:id="138" w:name="_Toc4551"/>
      <w:r>
        <w:rPr>
          <w:rFonts w:hint="eastAsia" w:ascii="仿宋" w:hAnsi="仿宋" w:eastAsia="仿宋" w:cs="仿宋"/>
          <w:highlight w:val="none"/>
          <w:lang w:val="en-US" w:eastAsia="zh-CN"/>
        </w:rPr>
        <w:t>七、</w:t>
      </w:r>
      <w:r>
        <w:rPr>
          <w:rFonts w:hint="eastAsia" w:ascii="仿宋" w:hAnsi="仿宋" w:eastAsia="仿宋" w:cs="仿宋"/>
          <w:highlight w:val="none"/>
        </w:rPr>
        <w:t>应急培训和演练</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pPr>
        <w:pStyle w:val="5"/>
        <w:bidi w:val="0"/>
        <w:rPr>
          <w:rFonts w:hint="eastAsia" w:ascii="仿宋" w:hAnsi="仿宋" w:eastAsia="仿宋" w:cs="仿宋"/>
          <w:sz w:val="28"/>
          <w:szCs w:val="28"/>
          <w:highlight w:val="none"/>
        </w:rPr>
      </w:pPr>
      <w:bookmarkStart w:id="139" w:name="_Toc17343"/>
      <w:bookmarkStart w:id="140" w:name="_Toc18219"/>
      <w:bookmarkStart w:id="141" w:name="_Toc28211"/>
      <w:bookmarkStart w:id="142" w:name="_Toc21388"/>
      <w:bookmarkStart w:id="143" w:name="_Toc5410"/>
      <w:bookmarkStart w:id="144" w:name="_Toc614"/>
      <w:bookmarkStart w:id="145" w:name="_Toc27541"/>
      <w:bookmarkStart w:id="146" w:name="_Toc21646"/>
      <w:bookmarkStart w:id="147" w:name="_Toc15534"/>
      <w:bookmarkStart w:id="148" w:name="_Toc21500"/>
      <w:bookmarkStart w:id="149" w:name="_Toc10843"/>
      <w:bookmarkStart w:id="150" w:name="_Toc14854"/>
      <w:bookmarkStart w:id="151" w:name="_Toc21964"/>
      <w:bookmarkStart w:id="152" w:name="_Toc478820626"/>
      <w:bookmarkStart w:id="153" w:name="_Toc7158"/>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.1培训</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组织危险源辨识与隐患排查治理培训。主要内容有：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⑴应急救援人员专业培训内容和方法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培训内容：</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①重点风险源的分布与事故风险；</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②事故报警与报告程序、方式；</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③火灾、爆炸</w:t>
      </w:r>
      <w:r>
        <w:rPr>
          <w:rFonts w:hint="eastAsia" w:ascii="仿宋" w:hAnsi="仿宋" w:eastAsia="仿宋" w:cs="仿宋"/>
          <w:sz w:val="28"/>
          <w:szCs w:val="28"/>
          <w:highlight w:val="none"/>
          <w:lang w:eastAsia="zh-CN"/>
        </w:rPr>
        <w:t>、泄露</w:t>
      </w:r>
      <w:r>
        <w:rPr>
          <w:rFonts w:hint="eastAsia" w:ascii="仿宋" w:hAnsi="仿宋" w:eastAsia="仿宋" w:cs="仿宋"/>
          <w:sz w:val="28"/>
          <w:szCs w:val="28"/>
          <w:highlight w:val="none"/>
        </w:rPr>
        <w:t>的抢险处置措施；</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④各种应急设备设施及防护用品的使用；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⑤应急疏散程序与事故现场的保护；</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⑥医疗急救知识与技能。</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采取的方式：课堂教学、现场演练、模拟事故发生演练等。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培训时间：不少于2学时。</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⑵应急指挥人员培训的内容和方法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培训内容：结合公司实际情况对突发环境事件的指挥、决策、各部门配合等内容进行培训。使其具备下列能力；</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①协调与指挥所有的应急活动；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②负责执行综合性的应急救援预案；</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③对现场内外应急资源的合理调用；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④提供管理和技术监督，协调后勤支持；</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⑤负责向国家、省、市、当地政府主管部门递交事故报告；</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⑥负责提供事故和应急工作总结。</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采取的方式：现场演练、模拟事故发生演练。</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培训时间：每年不少于1次。</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⑶员工环境应急基本知识培训的内容和方法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培训内容：</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①可能的重大危险事故及其后果；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②事故报警与报告；</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③灭火器的使用与基本灭火方法；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④泄漏处置与化学品基本防护知识；</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⑤疏散撤离的组织、方法和程序；</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⑥自救与互救的基本常识。</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采取的方式：课堂教学、现场演练、模拟事故发生演练等。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培训时间：每年不少于2学时。</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⑷外部公众（周边企业、社区、人口聚居区等）环境应急基本知识宣传的内容和方法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结合“六.五”环境日对外部公众环境应急知识的宣传及培训。</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公司组织公司员工利用空闲时通过口头宣传、宣传画、宣传册、安全、环保讲座等方式对公司附近的外部公众宣传事故危害，发生事故的应急措施等，事故发生时，能最大限度的减少损失。</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宣传主要内容：确认危险发生后能识别危险的迹象；了解所涉及到潜在的危险的后果；了解自身的作用和责任：能确认必需的防护措施；如果需要疏散，则应限制未经授权人员进入事故现场；熟悉事故现场安全区域的划分；了解基本的事故控制技术。</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⑸应急培训内容、方式、记录表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①应急培训内容</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Ⅰ.总应急预案；Ⅱ.指挥协调；Ⅲ.通讯；Ⅳ.公共信息；Ⅴ.警戒；Ⅵ.医疗救护；Ⅶ.泄漏反应；Ⅷ.检测；Ⅸ.火灾扑救；Ⅹ.现场调查；Ⅺ应急保障。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②应急培训方式、记录表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应急培训方式分公司集中培训和部门培训两种。应急培训要有详细的记录，存档保存。针对性内容培训可不定期。应急指挥中心负责培训管理工作，做好培训记录及评估和考核记录。</w:t>
      </w:r>
    </w:p>
    <w:p>
      <w:pPr>
        <w:pStyle w:val="5"/>
        <w:bidi w:val="0"/>
        <w:rPr>
          <w:rFonts w:hint="eastAsia" w:ascii="仿宋" w:hAnsi="仿宋" w:eastAsia="仿宋" w:cs="仿宋"/>
          <w:sz w:val="28"/>
          <w:szCs w:val="28"/>
          <w:highlight w:val="none"/>
        </w:rPr>
      </w:pPr>
      <w:bookmarkStart w:id="154" w:name="_Toc9094"/>
      <w:bookmarkStart w:id="155" w:name="_Toc5938"/>
      <w:bookmarkStart w:id="156" w:name="_Toc191"/>
      <w:bookmarkStart w:id="157" w:name="_Toc20963"/>
      <w:bookmarkStart w:id="158" w:name="_Toc17188"/>
      <w:bookmarkStart w:id="159" w:name="_Toc32627"/>
      <w:bookmarkStart w:id="160" w:name="_Toc800"/>
      <w:bookmarkStart w:id="161" w:name="_Toc478820627"/>
      <w:bookmarkStart w:id="162" w:name="_Toc30038"/>
      <w:bookmarkStart w:id="163" w:name="_Toc6126"/>
      <w:bookmarkStart w:id="164" w:name="_Toc14850"/>
      <w:bookmarkStart w:id="165" w:name="_Toc10770"/>
      <w:bookmarkStart w:id="166" w:name="_Toc10474"/>
      <w:bookmarkStart w:id="167" w:name="_Toc7741"/>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.2演练</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pPr>
        <w:pStyle w:val="6"/>
        <w:bidi w:val="0"/>
        <w:rPr>
          <w:rFonts w:hint="eastAsia" w:ascii="仿宋" w:hAnsi="仿宋" w:eastAsia="仿宋" w:cs="仿宋"/>
          <w:sz w:val="28"/>
          <w:szCs w:val="28"/>
          <w:highlight w:val="none"/>
        </w:rPr>
      </w:pPr>
      <w:bookmarkStart w:id="168" w:name="_Toc20831"/>
      <w:bookmarkStart w:id="169" w:name="_Toc13900"/>
      <w:bookmarkStart w:id="170" w:name="_Toc16200"/>
      <w:bookmarkStart w:id="171" w:name="_Toc9116"/>
      <w:bookmarkStart w:id="172" w:name="_Toc20264"/>
      <w:bookmarkStart w:id="173" w:name="_Toc9288"/>
      <w:bookmarkStart w:id="174" w:name="_Toc17362"/>
      <w:bookmarkStart w:id="175" w:name="_Toc31776"/>
      <w:bookmarkStart w:id="176" w:name="_Toc21424"/>
      <w:bookmarkStart w:id="177" w:name="_Toc12931"/>
      <w:bookmarkStart w:id="178" w:name="_Toc478820628"/>
      <w:bookmarkStart w:id="179" w:name="_Toc6596"/>
      <w:bookmarkStart w:id="180" w:name="_Toc17296"/>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.2.1演练准备内容</w:t>
      </w:r>
      <w:bookmarkEnd w:id="168"/>
      <w:bookmarkEnd w:id="169"/>
      <w:bookmarkEnd w:id="170"/>
      <w:bookmarkEnd w:id="171"/>
      <w:bookmarkEnd w:id="172"/>
      <w:bookmarkEnd w:id="173"/>
      <w:bookmarkEnd w:id="174"/>
      <w:bookmarkEnd w:id="175"/>
      <w:bookmarkEnd w:id="176"/>
      <w:bookmarkEnd w:id="177"/>
      <w:bookmarkEnd w:id="178"/>
      <w:bookmarkEnd w:id="179"/>
      <w:bookmarkEnd w:id="180"/>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演练准备内容如下：</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⑴有结合公司实际情况编制出来的操作性强、科学性强、实用性强的应急救援预案；</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⑵有一支思想觉悟高、业务技术精、工作责任心强的内部应急救援队伍；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⑶配备足够的应急物质，由专人定期检查、维护与更新，要始终保证处于备用状态。</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⑷由</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负责组织应急指挥部成员编制出应急演练方案，由</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审核批准后实施。</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⑸准备好应急演练所需的平面图、消防设施图、疏散线路图等。</w:t>
      </w:r>
    </w:p>
    <w:p>
      <w:pPr>
        <w:pStyle w:val="6"/>
        <w:bidi w:val="0"/>
        <w:rPr>
          <w:rFonts w:hint="eastAsia" w:ascii="仿宋" w:hAnsi="仿宋" w:eastAsia="仿宋" w:cs="仿宋"/>
          <w:sz w:val="28"/>
          <w:szCs w:val="28"/>
          <w:highlight w:val="none"/>
        </w:rPr>
      </w:pPr>
      <w:bookmarkStart w:id="181" w:name="_Toc28536"/>
      <w:bookmarkStart w:id="182" w:name="_Toc18677"/>
      <w:bookmarkStart w:id="183" w:name="_Toc28313"/>
      <w:bookmarkStart w:id="184" w:name="_Toc478820629"/>
      <w:bookmarkStart w:id="185" w:name="_Toc4386"/>
      <w:bookmarkStart w:id="186" w:name="_Toc785"/>
      <w:bookmarkStart w:id="187" w:name="_Toc5583"/>
      <w:bookmarkStart w:id="188" w:name="_Toc18582"/>
      <w:bookmarkStart w:id="189" w:name="_Toc29931"/>
      <w:bookmarkStart w:id="190" w:name="_Toc27369"/>
      <w:bookmarkStart w:id="191" w:name="_Toc26338"/>
      <w:bookmarkStart w:id="192" w:name="_Toc20310"/>
      <w:bookmarkStart w:id="193" w:name="_Toc29057"/>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.2.2演练内容</w:t>
      </w:r>
      <w:bookmarkEnd w:id="181"/>
      <w:bookmarkEnd w:id="182"/>
      <w:bookmarkEnd w:id="183"/>
      <w:bookmarkEnd w:id="184"/>
      <w:bookmarkEnd w:id="185"/>
      <w:bookmarkEnd w:id="186"/>
      <w:bookmarkEnd w:id="187"/>
      <w:bookmarkEnd w:id="188"/>
      <w:bookmarkEnd w:id="189"/>
      <w:bookmarkEnd w:id="190"/>
      <w:bookmarkEnd w:id="191"/>
      <w:bookmarkEnd w:id="192"/>
      <w:bookmarkEnd w:id="193"/>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演练应当根据本预案的相关内容以及可能发生事故的应急救援需要，制定相应的演练类型和演练计划，做好演练的各项准备工作。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根据其任务要求和规模可分为现场岗位处置方案演练、专项应急预案演练、综合应急预案演练三种。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①现场岗位处置方案演练</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各生产单位应针对本单位各岗位可能出现的事故类型及影响大小，组织岗位员工开展一次应急救援演练，主要针对发生事故的地点、设备处置、受伤中毒人员急救处置、利用装置内现有的消防设施扑救初起火灾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②专项应急预案演练</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针对某重要生产设施、重大活动等的典型突发环境事件发生后应该采取的一系列应急处置措施，而进行的专项生产安全事故应急救援的演练行动，其目的是检验指挥部的指挥、协调能力和专业救援队的救援能力及其配合情况、各部门之间的协调程度，各种保障系统的完善情况及群众的避灾能力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③综合应急预案演练</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针对本公司各关键装置重点部位的重大、典型事故，将应急救援行动中的各要素统筹考虑，模拟重大事故发生后应该采取的抢险救援行动、无关人员疏散、警戒、危险区隔离、各部门的配合等要素，而进行的综合性生产安全事故应急救援的演练行动，其目的是检验指挥部的指挥、协调能力和专业救援队的救援能力及其配合情况，各种保障系统的完善情况及群众的避灾能力等。</w:t>
      </w:r>
    </w:p>
    <w:p>
      <w:pPr>
        <w:pStyle w:val="6"/>
        <w:bidi w:val="0"/>
        <w:rPr>
          <w:rFonts w:hint="eastAsia" w:ascii="仿宋" w:hAnsi="仿宋" w:eastAsia="仿宋" w:cs="仿宋"/>
          <w:sz w:val="28"/>
          <w:szCs w:val="28"/>
          <w:highlight w:val="none"/>
        </w:rPr>
      </w:pPr>
      <w:bookmarkStart w:id="194" w:name="_Toc478820630"/>
      <w:bookmarkStart w:id="195" w:name="_Toc4803"/>
      <w:bookmarkStart w:id="196" w:name="_Toc21761"/>
      <w:bookmarkStart w:id="197" w:name="_Toc6757"/>
      <w:bookmarkStart w:id="198" w:name="_Toc1766"/>
      <w:bookmarkStart w:id="199" w:name="_Toc14333"/>
      <w:bookmarkStart w:id="200" w:name="_Toc24034"/>
      <w:bookmarkStart w:id="201" w:name="_Toc18527"/>
      <w:bookmarkStart w:id="202" w:name="_Toc3715"/>
      <w:bookmarkStart w:id="203" w:name="_Toc16819"/>
      <w:bookmarkStart w:id="204" w:name="_Toc6318"/>
      <w:bookmarkStart w:id="205" w:name="_Toc32124"/>
      <w:bookmarkStart w:id="206" w:name="_Toc8073"/>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.2.3演练方式、范围与频次</w:t>
      </w:r>
      <w:bookmarkEnd w:id="194"/>
      <w:bookmarkEnd w:id="195"/>
      <w:bookmarkEnd w:id="196"/>
      <w:bookmarkEnd w:id="197"/>
      <w:bookmarkEnd w:id="198"/>
      <w:bookmarkEnd w:id="199"/>
      <w:bookmarkEnd w:id="200"/>
      <w:bookmarkEnd w:id="201"/>
      <w:bookmarkEnd w:id="202"/>
      <w:bookmarkEnd w:id="203"/>
      <w:bookmarkEnd w:id="204"/>
      <w:bookmarkEnd w:id="205"/>
      <w:bookmarkEnd w:id="206"/>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应急预案演练是对应急能力的综合检验。应以多种形式组织由应急各方参加预案的训练和演习，使应急人员熟悉各类应急处置和整个应急行动程序，明确自身职责，提高协同作战能力，保证应急救援工作协调、有效、迅速的开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根据应急预案，呼和浩特石化公司辐射安全与环境保护管理小组每年至少组织一次应急培训，针对培训内容进行应急演练；各部门要结合本部门实际，每年不少于一次演练；每次应急反应的通讯维修在调度救援部与反应机构之间进行测试，并保持测试记录。不足之处加以改进。通过不同形式的培训和演练，不断提高全体人员的应急反应能力和救援能力。对于重大及以上突发环境事件，每年组织一次实战演练，利用应急处置涉及的设备和物资，针对事先设置的突发事件情景及其后续的发展情景，通过实际决策、行动和操作，完成真实应急响应的过程，从而检验和评价相关人员的临场组织指挥、队伍调动、应急处置技能和后勤保障等应急能力。实战演练要在特定场所完成。</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演习范围在全公司范围内，所有人员按照事故应急救援预案的规定执行。</w:t>
      </w:r>
    </w:p>
    <w:p>
      <w:pPr>
        <w:pStyle w:val="6"/>
        <w:bidi w:val="0"/>
        <w:rPr>
          <w:rFonts w:hint="eastAsia" w:ascii="仿宋" w:hAnsi="仿宋" w:eastAsia="仿宋" w:cs="仿宋"/>
          <w:sz w:val="28"/>
          <w:szCs w:val="28"/>
          <w:highlight w:val="none"/>
        </w:rPr>
      </w:pPr>
      <w:bookmarkStart w:id="207" w:name="_Toc26738"/>
      <w:bookmarkStart w:id="208" w:name="_Toc3140"/>
      <w:bookmarkStart w:id="209" w:name="_Toc30975"/>
      <w:bookmarkStart w:id="210" w:name="_Toc26688"/>
      <w:bookmarkStart w:id="211" w:name="_Toc14474"/>
      <w:bookmarkStart w:id="212" w:name="_Toc2771"/>
      <w:bookmarkStart w:id="213" w:name="_Toc16107"/>
      <w:bookmarkStart w:id="214" w:name="_Toc2050"/>
      <w:bookmarkStart w:id="215" w:name="_Toc15825"/>
      <w:bookmarkStart w:id="216" w:name="_Toc26561"/>
      <w:bookmarkStart w:id="217" w:name="_Toc23320"/>
      <w:bookmarkStart w:id="218" w:name="_Toc478820631"/>
      <w:bookmarkStart w:id="219" w:name="_Toc20526"/>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.2.4演练组织</w:t>
      </w:r>
      <w:bookmarkEnd w:id="207"/>
      <w:bookmarkEnd w:id="208"/>
      <w:bookmarkEnd w:id="209"/>
      <w:bookmarkEnd w:id="210"/>
      <w:bookmarkEnd w:id="211"/>
      <w:bookmarkEnd w:id="212"/>
      <w:bookmarkEnd w:id="213"/>
      <w:bookmarkEnd w:id="214"/>
      <w:bookmarkEnd w:id="215"/>
      <w:bookmarkEnd w:id="216"/>
      <w:bookmarkEnd w:id="217"/>
      <w:bookmarkEnd w:id="218"/>
      <w:bookmarkEnd w:id="219"/>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建立应急救援领导机构，确定机构成员职责。应急演练由</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组织，具体事项由应急救援组负责。</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组织与预案中的应急救援组织一样由应急救援组负责，备案每一次的演练的具体方案，按照预案的要求，接警后各就各位，各负其责，统一听从现场</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的号令。在每次演练结束后，及时对演练过程进行分析、总结和评价并及时对照或修改、补充应急预案，使应急预案和演练能对突发环境污染事件起到积极的制止消除作用。</w:t>
      </w:r>
    </w:p>
    <w:p>
      <w:pPr>
        <w:pStyle w:val="6"/>
        <w:bidi w:val="0"/>
        <w:rPr>
          <w:rFonts w:hint="eastAsia" w:ascii="仿宋" w:hAnsi="仿宋" w:eastAsia="仿宋" w:cs="仿宋"/>
          <w:sz w:val="28"/>
          <w:szCs w:val="28"/>
          <w:highlight w:val="none"/>
        </w:rPr>
      </w:pPr>
      <w:bookmarkStart w:id="220" w:name="_Toc14548"/>
      <w:bookmarkStart w:id="221" w:name="_Toc3569"/>
      <w:bookmarkStart w:id="222" w:name="_Toc5062"/>
      <w:bookmarkStart w:id="223" w:name="_Toc28057"/>
      <w:bookmarkStart w:id="224" w:name="_Toc23032"/>
      <w:bookmarkStart w:id="225" w:name="_Toc10763"/>
      <w:bookmarkStart w:id="226" w:name="_Toc32732"/>
      <w:bookmarkStart w:id="227" w:name="_Toc31586"/>
      <w:bookmarkStart w:id="228" w:name="_Toc478820632"/>
      <w:bookmarkStart w:id="229" w:name="_Toc30736"/>
      <w:bookmarkStart w:id="230" w:name="_Toc25545"/>
      <w:bookmarkStart w:id="231" w:name="_Toc7150"/>
      <w:bookmarkStart w:id="232" w:name="_Toc6492"/>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.2.5应急演练的评价、总结与追踪</w:t>
      </w:r>
      <w:bookmarkEnd w:id="220"/>
      <w:bookmarkEnd w:id="221"/>
      <w:bookmarkEnd w:id="222"/>
      <w:bookmarkEnd w:id="223"/>
      <w:bookmarkEnd w:id="224"/>
      <w:bookmarkEnd w:id="225"/>
      <w:bookmarkEnd w:id="226"/>
      <w:bookmarkEnd w:id="227"/>
      <w:bookmarkEnd w:id="228"/>
      <w:bookmarkEnd w:id="229"/>
      <w:bookmarkEnd w:id="230"/>
      <w:bookmarkEnd w:id="231"/>
      <w:bookmarkEnd w:id="23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z w:val="28"/>
          <w:szCs w:val="28"/>
          <w:highlight w:val="none"/>
        </w:rPr>
      </w:pPr>
      <w:r>
        <w:rPr>
          <w:rFonts w:hint="eastAsia" w:ascii="仿宋" w:hAnsi="仿宋" w:eastAsia="仿宋" w:cs="仿宋"/>
          <w:sz w:val="28"/>
          <w:szCs w:val="28"/>
          <w:highlight w:val="none"/>
        </w:rPr>
        <w:t>演习结束后，由</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负责组织相关人员对整个演练过程进行全面正确的评价，及时进行总结，组织力量针对演练过程中暴露出的问题和不足制定出整改措施，并每年对预案进行修订和完善。演练的组织和预案的修订、完善都要报上级主管部门登记备案。应急救援组做好演练的详细计划，实施记录及台帐管理；应急救援指挥中心要对培训和演练进行督导。</w:t>
      </w:r>
    </w:p>
    <w:p>
      <w:pPr>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snapToGrid w:val="0"/>
          <w:color w:val="auto"/>
          <w:kern w:val="0"/>
          <w:sz w:val="24"/>
          <w:szCs w:val="21"/>
          <w:highlight w:val="none"/>
          <w:lang w:val="en-US" w:eastAsia="zh-CN"/>
        </w:rPr>
        <w:br w:type="page"/>
      </w:r>
    </w:p>
    <w:p>
      <w:pPr>
        <w:pStyle w:val="4"/>
        <w:bidi w:val="0"/>
        <w:jc w:val="center"/>
        <w:rPr>
          <w:rFonts w:hint="eastAsia" w:ascii="仿宋" w:hAnsi="仿宋" w:eastAsia="仿宋" w:cs="仿宋"/>
          <w:highlight w:val="none"/>
        </w:rPr>
      </w:pPr>
      <w:bookmarkStart w:id="233" w:name="_Toc29010"/>
      <w:bookmarkStart w:id="234" w:name="_Toc1544"/>
      <w:bookmarkStart w:id="235" w:name="_Toc25695"/>
      <w:bookmarkStart w:id="236" w:name="_Toc29498"/>
      <w:bookmarkStart w:id="237" w:name="_Toc22387"/>
      <w:bookmarkStart w:id="238" w:name="_Toc30941"/>
      <w:bookmarkStart w:id="239" w:name="_Toc20040"/>
      <w:bookmarkStart w:id="240" w:name="_Toc6618"/>
      <w:bookmarkStart w:id="241" w:name="_Toc25523"/>
      <w:bookmarkStart w:id="242" w:name="_Toc18844"/>
      <w:bookmarkStart w:id="243" w:name="_Toc31756"/>
      <w:bookmarkStart w:id="244" w:name="_Toc20381"/>
      <w:bookmarkStart w:id="245" w:name="_Toc11846"/>
      <w:bookmarkStart w:id="246" w:name="_Toc3020"/>
      <w:r>
        <w:rPr>
          <w:rFonts w:hint="eastAsia" w:ascii="仿宋" w:hAnsi="仿宋" w:eastAsia="仿宋" w:cs="仿宋"/>
          <w:highlight w:val="none"/>
          <w:lang w:val="en-US" w:eastAsia="zh-CN"/>
        </w:rPr>
        <w:t>八、</w:t>
      </w:r>
      <w:r>
        <w:rPr>
          <w:rFonts w:hint="eastAsia" w:ascii="仿宋" w:hAnsi="仿宋" w:eastAsia="仿宋" w:cs="仿宋"/>
          <w:highlight w:val="none"/>
        </w:rPr>
        <w:t>奖惩</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pPr>
        <w:pStyle w:val="5"/>
        <w:bidi w:val="0"/>
        <w:rPr>
          <w:rFonts w:hint="eastAsia" w:ascii="仿宋" w:hAnsi="仿宋" w:eastAsia="仿宋" w:cs="仿宋"/>
          <w:sz w:val="28"/>
          <w:szCs w:val="28"/>
          <w:highlight w:val="none"/>
        </w:rPr>
      </w:pPr>
      <w:bookmarkStart w:id="247" w:name="_Toc17278"/>
      <w:bookmarkStart w:id="248" w:name="_Toc140"/>
      <w:bookmarkStart w:id="249" w:name="_Toc12813"/>
      <w:bookmarkStart w:id="250" w:name="_Toc2694"/>
      <w:bookmarkStart w:id="251" w:name="_Toc31602"/>
      <w:bookmarkStart w:id="252" w:name="_Toc2980"/>
      <w:bookmarkStart w:id="253" w:name="_Toc29790"/>
      <w:bookmarkStart w:id="254" w:name="_Toc24179"/>
      <w:bookmarkStart w:id="255" w:name="_Toc8421"/>
      <w:bookmarkStart w:id="256" w:name="_Toc9524"/>
      <w:bookmarkStart w:id="257" w:name="_Toc26292"/>
      <w:bookmarkStart w:id="258" w:name="_Toc19197"/>
      <w:bookmarkStart w:id="259" w:name="_Toc32338"/>
      <w:bookmarkStart w:id="260" w:name="_Toc28905"/>
      <w:r>
        <w:rPr>
          <w:rFonts w:hint="eastAsia" w:ascii="仿宋" w:hAnsi="仿宋" w:eastAsia="仿宋" w:cs="仿宋"/>
          <w:sz w:val="28"/>
          <w:szCs w:val="28"/>
          <w:highlight w:val="none"/>
          <w:lang w:val="en-US" w:eastAsia="zh-CN"/>
        </w:rPr>
        <w:t>8</w:t>
      </w:r>
      <w:r>
        <w:rPr>
          <w:rFonts w:hint="eastAsia" w:ascii="仿宋" w:hAnsi="仿宋" w:eastAsia="仿宋" w:cs="仿宋"/>
          <w:sz w:val="28"/>
          <w:szCs w:val="28"/>
          <w:highlight w:val="none"/>
        </w:rPr>
        <w:t>.1奖励</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在事故应对过程中有以下突出表现的单位和个人，应依据有关规定予以奖励：</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(1)出色完成应急处置任务，成绩显著的。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(2)防止或开展事故救援工作有功，使国家、集体和人民群众的财产免受损失或者减少损失的。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(3)对应急救援工作提出重大建议，实施效果显著的。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(4)有其他特殊贡献的。</w:t>
      </w:r>
    </w:p>
    <w:p>
      <w:pPr>
        <w:pStyle w:val="5"/>
        <w:bidi w:val="0"/>
        <w:rPr>
          <w:rFonts w:hint="eastAsia" w:ascii="仿宋" w:hAnsi="仿宋" w:eastAsia="仿宋" w:cs="仿宋"/>
          <w:sz w:val="28"/>
          <w:szCs w:val="28"/>
          <w:highlight w:val="none"/>
        </w:rPr>
      </w:pPr>
      <w:bookmarkStart w:id="261" w:name="_Toc30404"/>
      <w:bookmarkStart w:id="262" w:name="_Toc7801"/>
      <w:bookmarkStart w:id="263" w:name="_Toc1269"/>
      <w:bookmarkStart w:id="264" w:name="_Toc1642"/>
      <w:bookmarkStart w:id="265" w:name="_Toc29203"/>
      <w:bookmarkStart w:id="266" w:name="_Toc11836"/>
      <w:bookmarkStart w:id="267" w:name="_Toc1870"/>
      <w:bookmarkStart w:id="268" w:name="_Toc14436"/>
      <w:bookmarkStart w:id="269" w:name="_Toc1318"/>
      <w:bookmarkStart w:id="270" w:name="_Toc12094"/>
      <w:bookmarkStart w:id="271" w:name="_Toc9703"/>
      <w:bookmarkStart w:id="272" w:name="_Toc7834"/>
      <w:bookmarkStart w:id="273" w:name="_Toc282"/>
      <w:r>
        <w:rPr>
          <w:rFonts w:hint="eastAsia" w:ascii="仿宋" w:hAnsi="仿宋" w:eastAsia="仿宋" w:cs="仿宋"/>
          <w:sz w:val="28"/>
          <w:szCs w:val="28"/>
          <w:highlight w:val="none"/>
          <w:lang w:val="en-US" w:eastAsia="zh-CN"/>
        </w:rPr>
        <w:t>8</w:t>
      </w:r>
      <w:r>
        <w:rPr>
          <w:rFonts w:hint="eastAsia" w:ascii="仿宋" w:hAnsi="仿宋" w:eastAsia="仿宋" w:cs="仿宋"/>
          <w:sz w:val="28"/>
          <w:szCs w:val="28"/>
          <w:highlight w:val="none"/>
        </w:rPr>
        <w:t>.2处罚</w:t>
      </w:r>
      <w:bookmarkEnd w:id="261"/>
      <w:bookmarkEnd w:id="262"/>
      <w:bookmarkEnd w:id="263"/>
      <w:bookmarkEnd w:id="264"/>
      <w:bookmarkEnd w:id="265"/>
      <w:bookmarkEnd w:id="266"/>
      <w:bookmarkEnd w:id="267"/>
      <w:bookmarkEnd w:id="268"/>
      <w:bookmarkEnd w:id="269"/>
      <w:bookmarkEnd w:id="270"/>
      <w:bookmarkEnd w:id="271"/>
      <w:bookmarkEnd w:id="272"/>
      <w:bookmarkEnd w:id="273"/>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在事故应对过程中有下列行为之一的，按照法律、法规及有关规定，对有关责任人员视情节和危害后果，由其所在单位或者上级机关给予行政处分。其中，对国家公务员和国家行政机关任命的其他人员，分别由任免机关或者监察机关给予行政处分。属于违反治安管理行为的，由公安机关依照有关法律、法规的规定予以处罚。构成犯罪的，由司法机关依法追究刑事责任：</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(1)不按规定制订应急预案，拒绝履行应急准备义务的。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(2)不按信息报告有关规定而导致迟报、漏报、谎报或者瞒报事件信息的。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(3)拒不执行安全生产事故应急预案，不服从命令和指挥，或者在应急响应时临阵脱逃的。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(4)盗窃、挪用、贪污应急工作资金或者物资的。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(5)阻碍应急工作人员依法执行任务或者进行破坏活动的。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(6)散布谣言，扰乱社会秩序的。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(7)有其他危害应急工作行为的。</w:t>
      </w:r>
    </w:p>
    <w:p>
      <w:pPr>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br w:type="page"/>
      </w:r>
    </w:p>
    <w:p>
      <w:pPr>
        <w:pStyle w:val="4"/>
        <w:bidi w:val="0"/>
        <w:jc w:val="center"/>
        <w:rPr>
          <w:rFonts w:hint="eastAsia" w:ascii="仿宋" w:hAnsi="仿宋" w:eastAsia="仿宋" w:cs="仿宋"/>
          <w:highlight w:val="none"/>
        </w:rPr>
      </w:pPr>
      <w:bookmarkStart w:id="274" w:name="_Toc11832"/>
      <w:bookmarkStart w:id="275" w:name="_Toc5087"/>
      <w:bookmarkStart w:id="276" w:name="_Toc8552"/>
      <w:bookmarkStart w:id="277" w:name="_Toc508"/>
      <w:bookmarkStart w:id="278" w:name="_Toc23568"/>
      <w:bookmarkStart w:id="279" w:name="_Toc31049"/>
      <w:bookmarkStart w:id="280" w:name="_Toc11745"/>
      <w:bookmarkStart w:id="281" w:name="_Toc2498"/>
      <w:bookmarkStart w:id="282" w:name="_Toc4905"/>
      <w:bookmarkStart w:id="283" w:name="_Toc12560"/>
      <w:bookmarkStart w:id="284" w:name="_Toc14423"/>
      <w:bookmarkStart w:id="285" w:name="_Toc30717"/>
      <w:bookmarkStart w:id="286" w:name="_Toc18217"/>
      <w:bookmarkStart w:id="287" w:name="_Toc19010"/>
      <w:r>
        <w:rPr>
          <w:rFonts w:hint="eastAsia" w:ascii="仿宋" w:hAnsi="仿宋" w:eastAsia="仿宋" w:cs="仿宋"/>
          <w:highlight w:val="none"/>
          <w:lang w:val="en-US" w:eastAsia="zh-CN"/>
        </w:rPr>
        <w:t>九、</w:t>
      </w:r>
      <w:r>
        <w:rPr>
          <w:rFonts w:hint="eastAsia" w:ascii="仿宋" w:hAnsi="仿宋" w:eastAsia="仿宋" w:cs="仿宋"/>
          <w:highlight w:val="none"/>
        </w:rPr>
        <w:t>保障措施</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pPr>
        <w:pStyle w:val="5"/>
        <w:bidi w:val="0"/>
        <w:rPr>
          <w:rFonts w:hint="eastAsia" w:ascii="仿宋" w:hAnsi="仿宋" w:eastAsia="仿宋" w:cs="仿宋"/>
          <w:sz w:val="28"/>
          <w:szCs w:val="28"/>
          <w:highlight w:val="none"/>
        </w:rPr>
      </w:pPr>
      <w:bookmarkStart w:id="288" w:name="_Toc24800"/>
      <w:bookmarkStart w:id="289" w:name="_Toc30962"/>
      <w:bookmarkStart w:id="290" w:name="_Toc989"/>
      <w:bookmarkStart w:id="291" w:name="_Toc15823"/>
      <w:bookmarkStart w:id="292" w:name="_Toc5264"/>
      <w:bookmarkStart w:id="293" w:name="_Toc24608"/>
      <w:bookmarkStart w:id="294" w:name="_Toc17341"/>
      <w:bookmarkStart w:id="295" w:name="_Toc19788"/>
      <w:bookmarkStart w:id="296" w:name="_Toc2088"/>
      <w:bookmarkStart w:id="297" w:name="_Toc3055"/>
      <w:bookmarkStart w:id="298" w:name="_Toc23582"/>
      <w:bookmarkStart w:id="299" w:name="_Toc7422"/>
      <w:bookmarkStart w:id="300" w:name="_Toc2298"/>
      <w:bookmarkStart w:id="301" w:name="_Toc26513"/>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.1经费及其他保障</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公司应急专项经费主要来源于生产安全费用，主要用于应急器材维护及购置、应急培训，应急演练，事件发生后的救护、监测、洗消等处理费用。公司财务要按月计提安全生产费用，设立专用账户，专款专用，保证应急状态时应急经费及时到位。</w:t>
      </w:r>
    </w:p>
    <w:p>
      <w:pPr>
        <w:pStyle w:val="5"/>
        <w:bidi w:val="0"/>
        <w:rPr>
          <w:rFonts w:hint="eastAsia" w:ascii="仿宋" w:hAnsi="仿宋" w:eastAsia="仿宋" w:cs="仿宋"/>
          <w:sz w:val="28"/>
          <w:szCs w:val="28"/>
          <w:highlight w:val="none"/>
        </w:rPr>
      </w:pPr>
      <w:bookmarkStart w:id="302" w:name="_Toc23973"/>
      <w:bookmarkStart w:id="303" w:name="_Toc29929"/>
      <w:bookmarkStart w:id="304" w:name="_Toc3720"/>
      <w:bookmarkStart w:id="305" w:name="_Toc10365"/>
      <w:bookmarkStart w:id="306" w:name="_Toc25329"/>
      <w:bookmarkStart w:id="307" w:name="_Toc3932"/>
      <w:bookmarkStart w:id="308" w:name="_Toc25588"/>
      <w:bookmarkStart w:id="309" w:name="_Toc25327"/>
      <w:bookmarkStart w:id="310" w:name="_Toc26167"/>
      <w:bookmarkStart w:id="311" w:name="_Toc7148"/>
      <w:bookmarkStart w:id="312" w:name="_Toc7908"/>
      <w:bookmarkStart w:id="313" w:name="_Toc2446"/>
      <w:bookmarkStart w:id="314" w:name="_Toc13552"/>
      <w:bookmarkStart w:id="315" w:name="_Toc14665"/>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.2应急物资装备保障</w:t>
      </w:r>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p>
    <w:p>
      <w:pPr>
        <w:pageBreakBefore w:val="0"/>
        <w:kinsoku/>
        <w:wordWrap/>
        <w:overflowPunct/>
        <w:topLinePunct w:val="0"/>
        <w:bidi w:val="0"/>
        <w:spacing w:line="360" w:lineRule="auto"/>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为保证工人的生产活动和响应紧急事故处理，公司针对各车间可能出现的事故情形、职业危害等，配备相应的防护用品及消防设备。</w:t>
      </w:r>
      <w:r>
        <w:rPr>
          <w:rFonts w:hint="eastAsia" w:ascii="仿宋" w:hAnsi="仿宋" w:eastAsia="仿宋" w:cs="仿宋"/>
          <w:color w:val="auto"/>
          <w:sz w:val="28"/>
          <w:szCs w:val="28"/>
          <w:highlight w:val="none"/>
          <w:lang w:eastAsia="zh-CN"/>
        </w:rPr>
        <w:t>应急物资存放在办公区和车间</w:t>
      </w:r>
      <w:r>
        <w:rPr>
          <w:rFonts w:hint="eastAsia" w:ascii="仿宋" w:hAnsi="仿宋" w:eastAsia="仿宋" w:cs="仿宋"/>
          <w:color w:val="auto"/>
          <w:sz w:val="28"/>
          <w:szCs w:val="28"/>
          <w:highlight w:val="none"/>
        </w:rPr>
        <w:t>。</w:t>
      </w:r>
    </w:p>
    <w:p>
      <w:pPr>
        <w:pStyle w:val="5"/>
        <w:bidi w:val="0"/>
        <w:rPr>
          <w:rFonts w:hint="eastAsia" w:ascii="仿宋" w:hAnsi="仿宋" w:eastAsia="仿宋" w:cs="仿宋"/>
          <w:sz w:val="28"/>
          <w:szCs w:val="28"/>
          <w:highlight w:val="none"/>
        </w:rPr>
      </w:pPr>
      <w:bookmarkStart w:id="316" w:name="_Toc30775"/>
      <w:bookmarkStart w:id="317" w:name="_Toc7303"/>
      <w:bookmarkStart w:id="318" w:name="_Toc3343"/>
      <w:bookmarkStart w:id="319" w:name="_Toc14171"/>
      <w:bookmarkStart w:id="320" w:name="_Toc28643"/>
      <w:bookmarkStart w:id="321" w:name="_Toc3245"/>
      <w:bookmarkStart w:id="322" w:name="_Toc3521"/>
      <w:bookmarkStart w:id="323" w:name="_Toc31786"/>
      <w:bookmarkStart w:id="324" w:name="_Toc24946"/>
      <w:bookmarkStart w:id="325" w:name="_Toc7939"/>
      <w:bookmarkStart w:id="326" w:name="_Toc27724"/>
      <w:bookmarkStart w:id="327" w:name="_Toc21220"/>
      <w:bookmarkStart w:id="328" w:name="_Toc7966"/>
      <w:bookmarkStart w:id="329" w:name="_Toc13599"/>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.3应急队伍保障</w:t>
      </w:r>
      <w:bookmarkEnd w:id="316"/>
      <w:bookmarkEnd w:id="317"/>
      <w:bookmarkEnd w:id="318"/>
      <w:bookmarkEnd w:id="319"/>
      <w:bookmarkEnd w:id="320"/>
      <w:bookmarkEnd w:id="321"/>
      <w:bookmarkEnd w:id="322"/>
      <w:bookmarkEnd w:id="323"/>
      <w:bookmarkEnd w:id="324"/>
      <w:bookmarkEnd w:id="325"/>
      <w:bookmarkEnd w:id="326"/>
      <w:bookmarkEnd w:id="327"/>
    </w:p>
    <w:p>
      <w:pPr>
        <w:pageBreakBefore w:val="0"/>
        <w:kinsoku/>
        <w:wordWrap/>
        <w:overflowPunct/>
        <w:topLinePunct w:val="0"/>
        <w:bidi w:val="0"/>
        <w:adjustRightInd w:val="0"/>
        <w:snapToGrid w:val="0"/>
        <w:spacing w:line="360" w:lineRule="auto"/>
        <w:ind w:firstLine="560" w:firstLineChars="200"/>
        <w:rPr>
          <w:rFonts w:hint="eastAsia" w:ascii="仿宋" w:hAnsi="仿宋" w:eastAsia="仿宋" w:cs="仿宋"/>
          <w:color w:val="000000"/>
          <w:sz w:val="28"/>
          <w:szCs w:val="28"/>
          <w:highlight w:val="none"/>
        </w:rPr>
      </w:pPr>
      <w:r>
        <w:rPr>
          <w:rFonts w:hint="eastAsia" w:ascii="仿宋" w:hAnsi="仿宋" w:eastAsia="仿宋" w:cs="仿宋"/>
          <w:color w:val="000000"/>
          <w:sz w:val="28"/>
          <w:szCs w:val="28"/>
          <w:highlight w:val="none"/>
        </w:rPr>
        <w:t>建立呼和浩特石化公司辐射安全与环境保护管理小组。在紧急情况发生时，他们是事故救援处理过程中重要力量。按照专业分工，本着专业对口、便于领导、便于集结和开展救援的原则，落实专业救援队员、事故应急组员，每年年初根据人员变化进行组织调整。</w:t>
      </w:r>
    </w:p>
    <w:p>
      <w:pPr>
        <w:pageBreakBefore w:val="0"/>
        <w:kinsoku/>
        <w:wordWrap/>
        <w:overflowPunct/>
        <w:topLinePunct w:val="0"/>
        <w:bidi w:val="0"/>
        <w:adjustRightInd w:val="0"/>
        <w:snapToGrid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color w:val="000000"/>
          <w:sz w:val="28"/>
          <w:szCs w:val="28"/>
          <w:highlight w:val="none"/>
        </w:rPr>
        <w:t>根据本公司应急工作的需要，加强应急队伍的业务培训和应急演练，整合公司现有应急资源，建立了联动协调机制，提高装备水平。充分利用社会应急资源，签订互助协议，提供应急期间的医疗卫生、治安保卫、交通维护和运输等应急救援力量的保障，加强广大员工应急能力建设，鼓励义务志愿者参与应急工作，加强与社会援助的合作，不断提高公司应急队伍的素质。</w:t>
      </w:r>
    </w:p>
    <w:p>
      <w:pPr>
        <w:pStyle w:val="5"/>
        <w:bidi w:val="0"/>
        <w:rPr>
          <w:rFonts w:hint="eastAsia" w:ascii="仿宋" w:hAnsi="仿宋" w:eastAsia="仿宋" w:cs="仿宋"/>
          <w:sz w:val="28"/>
          <w:szCs w:val="28"/>
          <w:highlight w:val="none"/>
        </w:rPr>
      </w:pPr>
      <w:bookmarkStart w:id="330" w:name="_Toc8410"/>
      <w:bookmarkStart w:id="331" w:name="_Toc24773"/>
      <w:bookmarkStart w:id="332" w:name="_Toc348"/>
      <w:bookmarkStart w:id="333" w:name="_Toc16284"/>
      <w:bookmarkStart w:id="334" w:name="_Toc22013"/>
      <w:bookmarkStart w:id="335" w:name="_Toc32284"/>
      <w:bookmarkStart w:id="336" w:name="_Toc30974"/>
      <w:bookmarkStart w:id="337" w:name="_Toc14198"/>
      <w:bookmarkStart w:id="338" w:name="_Toc28289"/>
      <w:bookmarkStart w:id="339" w:name="_Toc14521"/>
      <w:bookmarkStart w:id="340" w:name="_Toc29107"/>
      <w:bookmarkStart w:id="341" w:name="_Toc12263"/>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.4通信和信息保障</w:t>
      </w:r>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建立信息通信系统及维护方案，并将信息表制成卡片，方便随身携带。值班人员认真坚守岗位，不得擅自离岗、脱岗。相关人员手机须保持24小时开通。</w:t>
      </w:r>
    </w:p>
    <w:p>
      <w:pPr>
        <w:pStyle w:val="5"/>
        <w:bidi w:val="0"/>
        <w:rPr>
          <w:rFonts w:hint="eastAsia" w:ascii="仿宋" w:hAnsi="仿宋" w:eastAsia="仿宋" w:cs="仿宋"/>
          <w:sz w:val="28"/>
          <w:szCs w:val="28"/>
          <w:highlight w:val="none"/>
        </w:rPr>
      </w:pPr>
      <w:bookmarkStart w:id="342" w:name="_Toc29745"/>
      <w:bookmarkStart w:id="343" w:name="_Toc4992"/>
      <w:bookmarkStart w:id="344" w:name="_Toc32385"/>
      <w:bookmarkStart w:id="345" w:name="_Toc22461"/>
      <w:bookmarkStart w:id="346" w:name="_Toc1589"/>
      <w:bookmarkStart w:id="347" w:name="_Toc8448"/>
      <w:bookmarkStart w:id="348" w:name="_Toc23722"/>
      <w:bookmarkStart w:id="349" w:name="_Toc26066"/>
      <w:bookmarkStart w:id="350" w:name="_Toc4947"/>
      <w:bookmarkStart w:id="351" w:name="_Toc13498"/>
      <w:bookmarkStart w:id="352" w:name="_Toc578"/>
      <w:bookmarkStart w:id="353" w:name="_Toc7838"/>
      <w:bookmarkStart w:id="354" w:name="_Toc21013"/>
      <w:bookmarkStart w:id="355" w:name="_Toc31867"/>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.5医疗急救保障</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公司</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负责落实与地方医疗卫生、职业病防治部门的应急医疗救援协议的签订，落实急救药箱药品，急救器材的配备与更新。落实现场应急人员的医疗救急的知识与技术的培训。</w:t>
      </w:r>
    </w:p>
    <w:p>
      <w:pPr>
        <w:pStyle w:val="5"/>
        <w:bidi w:val="0"/>
        <w:rPr>
          <w:rFonts w:hint="eastAsia" w:ascii="仿宋" w:hAnsi="仿宋" w:eastAsia="仿宋" w:cs="仿宋"/>
          <w:sz w:val="28"/>
          <w:szCs w:val="28"/>
          <w:highlight w:val="none"/>
        </w:rPr>
      </w:pPr>
      <w:bookmarkStart w:id="356" w:name="_Toc20669"/>
      <w:bookmarkStart w:id="357" w:name="_Toc6157"/>
      <w:bookmarkStart w:id="358" w:name="_Toc8948"/>
      <w:bookmarkStart w:id="359" w:name="_Toc24816"/>
      <w:bookmarkStart w:id="360" w:name="_Toc15936"/>
      <w:bookmarkStart w:id="361" w:name="_Toc19982"/>
      <w:bookmarkStart w:id="362" w:name="_Toc27112"/>
      <w:bookmarkStart w:id="363" w:name="_Toc11992"/>
      <w:bookmarkStart w:id="364" w:name="_Toc28205"/>
      <w:bookmarkStart w:id="365" w:name="_Toc13080"/>
      <w:bookmarkStart w:id="366" w:name="_Toc27989"/>
      <w:bookmarkStart w:id="367" w:name="_Toc26137"/>
      <w:bookmarkStart w:id="368" w:name="_Toc2074"/>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.6其他保障</w:t>
      </w:r>
      <w:bookmarkEnd w:id="356"/>
      <w:bookmarkEnd w:id="357"/>
      <w:bookmarkEnd w:id="358"/>
      <w:bookmarkEnd w:id="359"/>
      <w:bookmarkEnd w:id="360"/>
      <w:bookmarkEnd w:id="361"/>
      <w:bookmarkEnd w:id="362"/>
      <w:bookmarkEnd w:id="363"/>
      <w:bookmarkEnd w:id="364"/>
      <w:bookmarkEnd w:id="365"/>
      <w:bookmarkEnd w:id="366"/>
      <w:bookmarkEnd w:id="367"/>
      <w:bookmarkEnd w:id="368"/>
    </w:p>
    <w:p>
      <w:pPr>
        <w:pageBreakBefore w:val="0"/>
        <w:kinsoku/>
        <w:wordWrap/>
        <w:overflowPunct/>
        <w:topLinePunct w:val="0"/>
        <w:bidi w:val="0"/>
        <w:spacing w:line="360" w:lineRule="auto"/>
        <w:ind w:firstLine="560" w:firstLineChars="200"/>
        <w:rPr>
          <w:rFonts w:hint="eastAsia" w:ascii="仿宋" w:hAnsi="仿宋" w:eastAsia="仿宋" w:cs="仿宋"/>
          <w:color w:val="000000"/>
          <w:sz w:val="28"/>
          <w:szCs w:val="28"/>
          <w:highlight w:val="none"/>
        </w:rPr>
      </w:pPr>
      <w:r>
        <w:rPr>
          <w:rFonts w:hint="eastAsia" w:ascii="仿宋" w:hAnsi="仿宋" w:eastAsia="仿宋" w:cs="仿宋"/>
          <w:color w:val="000000"/>
          <w:sz w:val="28"/>
          <w:szCs w:val="28"/>
          <w:highlight w:val="none"/>
        </w:rPr>
        <w:t>公司已制定相应的环境保护管理制度以及应急救援体系各个环节运行时应按照以下制度严格执行：</w:t>
      </w:r>
    </w:p>
    <w:p>
      <w:pPr>
        <w:pageBreakBefore w:val="0"/>
        <w:kinsoku/>
        <w:wordWrap/>
        <w:overflowPunct/>
        <w:topLinePunct w:val="0"/>
        <w:bidi w:val="0"/>
        <w:spacing w:line="360" w:lineRule="auto"/>
        <w:ind w:firstLine="560" w:firstLineChars="200"/>
        <w:rPr>
          <w:rFonts w:hint="eastAsia" w:ascii="仿宋" w:hAnsi="仿宋" w:eastAsia="仿宋" w:cs="仿宋"/>
          <w:color w:val="000000"/>
          <w:sz w:val="28"/>
          <w:szCs w:val="28"/>
          <w:highlight w:val="none"/>
        </w:rPr>
      </w:pPr>
      <w:r>
        <w:rPr>
          <w:rFonts w:hint="eastAsia" w:ascii="仿宋" w:hAnsi="仿宋" w:eastAsia="仿宋" w:cs="仿宋"/>
          <w:color w:val="000000"/>
          <w:sz w:val="28"/>
          <w:szCs w:val="28"/>
          <w:highlight w:val="none"/>
        </w:rPr>
        <w:t>成立了环境保护管理委员会、安全环保部；生产、施工环境保护管理暂行规定；环境保护责任制度；环境保护教育制度；事故应急救援预案；防尘、防毒、防火、防爆安全管理制度；安全隐患排查制度；事故汇报分析处理制度；环境事故责任追究制度、岗位责任制度、操作规程、值班制度、检查制度、劳动保护用品制度、设备管理制度、环境保护奖惩管理办法等。</w:t>
      </w:r>
    </w:p>
    <w:p>
      <w:pPr>
        <w:rPr>
          <w:rFonts w:hint="eastAsia" w:ascii="仿宋" w:hAnsi="仿宋" w:eastAsia="仿宋" w:cs="仿宋"/>
          <w:highlight w:val="none"/>
          <w:lang w:val="en-US" w:eastAsia="zh-CN"/>
        </w:rPr>
      </w:pPr>
      <w:r>
        <w:rPr>
          <w:rFonts w:hint="eastAsia" w:ascii="仿宋" w:hAnsi="仿宋" w:eastAsia="仿宋" w:cs="仿宋"/>
          <w:highlight w:val="none"/>
          <w:lang w:val="en-US" w:eastAsia="zh-CN"/>
        </w:rPr>
        <w:br w:type="page"/>
      </w:r>
    </w:p>
    <w:p>
      <w:pPr>
        <w:pStyle w:val="4"/>
        <w:bidi w:val="0"/>
        <w:jc w:val="center"/>
        <w:rPr>
          <w:rFonts w:hint="eastAsia" w:ascii="仿宋" w:hAnsi="仿宋" w:eastAsia="仿宋" w:cs="仿宋"/>
          <w:highlight w:val="none"/>
        </w:rPr>
      </w:pPr>
      <w:bookmarkStart w:id="369" w:name="_Toc22346"/>
      <w:bookmarkStart w:id="370" w:name="_Toc15874"/>
      <w:bookmarkStart w:id="371" w:name="_Toc12541"/>
      <w:bookmarkStart w:id="372" w:name="_Toc10335"/>
      <w:bookmarkStart w:id="373" w:name="_Toc24866"/>
      <w:bookmarkStart w:id="374" w:name="_Toc22446"/>
      <w:bookmarkStart w:id="375" w:name="_Toc25452"/>
      <w:bookmarkStart w:id="376" w:name="_Toc4276"/>
      <w:bookmarkStart w:id="377" w:name="_Toc19339"/>
      <w:bookmarkStart w:id="378" w:name="_Toc4425"/>
      <w:bookmarkStart w:id="379" w:name="_Toc30905"/>
      <w:bookmarkStart w:id="380" w:name="_Toc12969"/>
      <w:bookmarkStart w:id="381" w:name="_Toc30904"/>
      <w:bookmarkStart w:id="382" w:name="_Toc29645"/>
      <w:r>
        <w:rPr>
          <w:rFonts w:hint="eastAsia" w:ascii="仿宋" w:hAnsi="仿宋" w:eastAsia="仿宋" w:cs="仿宋"/>
          <w:highlight w:val="none"/>
          <w:lang w:val="en-US" w:eastAsia="zh-CN"/>
        </w:rPr>
        <w:t>十、应急</w:t>
      </w:r>
      <w:r>
        <w:rPr>
          <w:rFonts w:hint="eastAsia" w:ascii="仿宋" w:hAnsi="仿宋" w:eastAsia="仿宋" w:cs="仿宋"/>
          <w:highlight w:val="none"/>
        </w:rPr>
        <w:t>预案的发布和更新</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p>
    <w:p>
      <w:pPr>
        <w:pStyle w:val="5"/>
        <w:bidi w:val="0"/>
        <w:rPr>
          <w:rFonts w:hint="eastAsia" w:ascii="仿宋" w:hAnsi="仿宋" w:eastAsia="仿宋" w:cs="仿宋"/>
          <w:highlight w:val="none"/>
        </w:rPr>
      </w:pPr>
      <w:bookmarkStart w:id="383" w:name="_Toc12274"/>
      <w:bookmarkStart w:id="384" w:name="_Toc26055"/>
      <w:bookmarkStart w:id="385" w:name="_Toc29352"/>
      <w:bookmarkStart w:id="386" w:name="_Toc22933"/>
      <w:bookmarkStart w:id="387" w:name="_Toc30514"/>
      <w:bookmarkStart w:id="388" w:name="_Toc22738"/>
      <w:bookmarkStart w:id="389" w:name="_Toc21397"/>
      <w:bookmarkStart w:id="390" w:name="_Toc15401"/>
      <w:bookmarkStart w:id="391" w:name="_Toc27293"/>
      <w:bookmarkStart w:id="392" w:name="_Toc23144"/>
      <w:bookmarkStart w:id="393" w:name="_Toc13325"/>
      <w:bookmarkStart w:id="394" w:name="_Toc30902"/>
      <w:bookmarkStart w:id="395" w:name="_Toc1698"/>
      <w:bookmarkStart w:id="396" w:name="_Toc4202"/>
      <w:r>
        <w:rPr>
          <w:rFonts w:hint="eastAsia" w:ascii="仿宋" w:hAnsi="仿宋" w:eastAsia="仿宋" w:cs="仿宋"/>
          <w:highlight w:val="none"/>
        </w:rPr>
        <w:t>1</w:t>
      </w:r>
      <w:r>
        <w:rPr>
          <w:rFonts w:hint="eastAsia" w:ascii="仿宋" w:hAnsi="仿宋" w:eastAsia="仿宋" w:cs="仿宋"/>
          <w:highlight w:val="none"/>
          <w:lang w:val="en-US" w:eastAsia="zh-CN"/>
        </w:rPr>
        <w:t>0</w:t>
      </w:r>
      <w:r>
        <w:rPr>
          <w:rFonts w:hint="eastAsia" w:ascii="仿宋" w:hAnsi="仿宋" w:eastAsia="仿宋" w:cs="仿宋"/>
          <w:highlight w:val="none"/>
        </w:rPr>
        <w:t>.</w:t>
      </w:r>
      <w:r>
        <w:rPr>
          <w:rFonts w:hint="eastAsia" w:ascii="仿宋" w:hAnsi="仿宋" w:eastAsia="仿宋" w:cs="仿宋"/>
          <w:highlight w:val="none"/>
          <w:lang w:val="en-US" w:eastAsia="zh-CN"/>
        </w:rPr>
        <w:t>1</w:t>
      </w:r>
      <w:r>
        <w:rPr>
          <w:rFonts w:hint="eastAsia" w:ascii="仿宋" w:hAnsi="仿宋" w:eastAsia="仿宋" w:cs="仿宋"/>
          <w:highlight w:val="none"/>
        </w:rPr>
        <w:t>发布的时间、抄送的部门</w:t>
      </w:r>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w:t>
      </w:r>
      <w:r>
        <w:rPr>
          <w:rFonts w:hint="eastAsia" w:ascii="仿宋" w:hAnsi="仿宋" w:eastAsia="仿宋" w:cs="仿宋"/>
          <w:sz w:val="24"/>
          <w:highlight w:val="none"/>
          <w:lang w:val="en-US" w:eastAsia="zh-CN"/>
        </w:rPr>
        <w:t>中国石油天然气股份有限公司呼和浩特石化分公司放射源专项应急预案</w:t>
      </w:r>
      <w:r>
        <w:rPr>
          <w:rFonts w:hint="eastAsia" w:ascii="仿宋" w:hAnsi="仿宋" w:eastAsia="仿宋" w:cs="仿宋"/>
          <w:sz w:val="24"/>
          <w:highlight w:val="none"/>
        </w:rPr>
        <w:t>》经公司应急预案修订领导小组审查通过，现予以颁布，自签署之日起生效。</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总经理负责预案的管理发放，发放应建立发放记录，并及时对已发放预案进行更新，确保各部门获得最新版本的应急预案；发放给应急小组成员和各部门主要负责人、岗位人员。</w:t>
      </w:r>
    </w:p>
    <w:p>
      <w:pPr>
        <w:pStyle w:val="5"/>
        <w:bidi w:val="0"/>
        <w:rPr>
          <w:rFonts w:hint="eastAsia" w:ascii="仿宋" w:hAnsi="仿宋" w:eastAsia="仿宋" w:cs="仿宋"/>
          <w:highlight w:val="none"/>
        </w:rPr>
      </w:pPr>
      <w:bookmarkStart w:id="397" w:name="_Toc5432"/>
      <w:bookmarkStart w:id="398" w:name="_Toc7351"/>
      <w:bookmarkStart w:id="399" w:name="_Toc6578"/>
      <w:bookmarkStart w:id="400" w:name="_Toc1176"/>
      <w:bookmarkStart w:id="401" w:name="_Toc20291"/>
      <w:bookmarkStart w:id="402" w:name="_Toc25801"/>
      <w:bookmarkStart w:id="403" w:name="_Toc8075"/>
      <w:bookmarkStart w:id="404" w:name="_Toc9254"/>
      <w:bookmarkStart w:id="405" w:name="_Toc4742"/>
      <w:bookmarkStart w:id="406" w:name="_Toc11355"/>
      <w:bookmarkStart w:id="407" w:name="_Toc11888"/>
      <w:bookmarkStart w:id="408" w:name="_Toc18913"/>
      <w:bookmarkStart w:id="409" w:name="_Toc3346"/>
      <w:bookmarkStart w:id="410" w:name="_Toc6724"/>
      <w:r>
        <w:rPr>
          <w:rFonts w:hint="eastAsia" w:ascii="仿宋" w:hAnsi="仿宋" w:eastAsia="仿宋" w:cs="仿宋"/>
          <w:highlight w:val="none"/>
        </w:rPr>
        <w:t>1</w:t>
      </w:r>
      <w:r>
        <w:rPr>
          <w:rFonts w:hint="eastAsia" w:ascii="仿宋" w:hAnsi="仿宋" w:eastAsia="仿宋" w:cs="仿宋"/>
          <w:highlight w:val="none"/>
          <w:lang w:val="en-US" w:eastAsia="zh-CN"/>
        </w:rPr>
        <w:t>0</w:t>
      </w:r>
      <w:r>
        <w:rPr>
          <w:rFonts w:hint="eastAsia" w:ascii="仿宋" w:hAnsi="仿宋" w:eastAsia="仿宋" w:cs="仿宋"/>
          <w:highlight w:val="none"/>
        </w:rPr>
        <w:t>.</w:t>
      </w:r>
      <w:r>
        <w:rPr>
          <w:rFonts w:hint="eastAsia" w:ascii="仿宋" w:hAnsi="仿宋" w:eastAsia="仿宋" w:cs="仿宋"/>
          <w:highlight w:val="none"/>
          <w:lang w:val="en-US" w:eastAsia="zh-CN"/>
        </w:rPr>
        <w:t>2应急预案更新修订</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（1）在下列情况下，应对应急预案及时修订：</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①危险源发生变化（包括危险源的种类、数量、位置）；②应急机构或人员发生变化；③应急装备、设施发生变化；④应急演练评价中发生存在不符合项；⑤法律、法规发生变化。</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（2）应急预案更改、修订程序</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应急预案的修订由安全环保部根据上述情况的变化和原因，向公司领导提出申请，说明修改原因，经授权后组织修订，并将修改后的文件传递给相关部门。</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预案修订应建立修改记录（包括修改日期、页码、内容、修改人）。</w:t>
      </w:r>
    </w:p>
    <w:p>
      <w:pPr>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snapToGrid w:val="0"/>
          <w:color w:val="auto"/>
          <w:kern w:val="0"/>
          <w:sz w:val="24"/>
          <w:szCs w:val="21"/>
          <w:highlight w:val="none"/>
          <w:lang w:val="en-US" w:eastAsia="zh-CN"/>
        </w:rPr>
        <w:br w:type="page"/>
      </w:r>
    </w:p>
    <w:p>
      <w:pPr>
        <w:pStyle w:val="4"/>
        <w:bidi w:val="0"/>
        <w:rPr>
          <w:rFonts w:hint="eastAsia" w:ascii="仿宋" w:hAnsi="仿宋" w:eastAsia="仿宋" w:cs="仿宋"/>
          <w:sz w:val="28"/>
          <w:szCs w:val="28"/>
          <w:highlight w:val="none"/>
          <w:lang w:val="en-US" w:eastAsia="zh-CN"/>
        </w:rPr>
      </w:pPr>
      <w:bookmarkStart w:id="411" w:name="_Toc5548"/>
      <w:r>
        <w:rPr>
          <w:rFonts w:hint="eastAsia" w:ascii="仿宋" w:hAnsi="仿宋" w:eastAsia="仿宋" w:cs="仿宋"/>
          <w:sz w:val="28"/>
          <w:szCs w:val="28"/>
          <w:highlight w:val="none"/>
          <w:lang w:val="en-US" w:eastAsia="zh-CN"/>
        </w:rPr>
        <w:t>附件1 辐射安全许可证</w:t>
      </w:r>
      <w:bookmarkEnd w:id="411"/>
    </w:p>
    <w:p>
      <w:pPr>
        <w:bidi w:val="0"/>
        <w:rPr>
          <w:rFonts w:hint="eastAsia" w:ascii="仿宋" w:hAnsi="仿宋" w:eastAsia="仿宋" w:cs="仿宋"/>
          <w:sz w:val="24"/>
          <w:szCs w:val="24"/>
          <w:highlight w:val="none"/>
          <w:lang w:val="en-US" w:eastAsia="zh-CN"/>
        </w:rPr>
      </w:pPr>
      <w:r>
        <w:drawing>
          <wp:inline distT="0" distB="0" distL="114300" distR="114300">
            <wp:extent cx="5269230" cy="7375525"/>
            <wp:effectExtent l="0" t="0" r="7620" b="1587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46"/>
                    <a:stretch>
                      <a:fillRect/>
                    </a:stretch>
                  </pic:blipFill>
                  <pic:spPr>
                    <a:xfrm>
                      <a:off x="0" y="0"/>
                      <a:ext cx="5269230" cy="7375525"/>
                    </a:xfrm>
                    <a:prstGeom prst="rect">
                      <a:avLst/>
                    </a:prstGeom>
                    <a:noFill/>
                    <a:ln>
                      <a:noFill/>
                    </a:ln>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86755" cy="8175625"/>
            <wp:effectExtent l="0" t="0" r="4445" b="8255"/>
            <wp:docPr id="35" name="图片 35" descr="辐射安全许可证（202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辐射安全许可证（2023）_01"/>
                    <pic:cNvPicPr>
                      <a:picLocks noChangeAspect="1"/>
                    </pic:cNvPicPr>
                  </pic:nvPicPr>
                  <pic:blipFill>
                    <a:blip r:embed="rId47"/>
                    <a:stretch>
                      <a:fillRect/>
                    </a:stretch>
                  </pic:blipFill>
                  <pic:spPr>
                    <a:xfrm>
                      <a:off x="0" y="0"/>
                      <a:ext cx="5786755" cy="8175625"/>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806440" cy="8202930"/>
            <wp:effectExtent l="0" t="0" r="0" b="11430"/>
            <wp:docPr id="34" name="图片 34" descr="辐射安全许可证（202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辐射安全许可证（2023）_02"/>
                    <pic:cNvPicPr>
                      <a:picLocks noChangeAspect="1"/>
                    </pic:cNvPicPr>
                  </pic:nvPicPr>
                  <pic:blipFill>
                    <a:blip r:embed="rId48"/>
                    <a:stretch>
                      <a:fillRect/>
                    </a:stretch>
                  </pic:blipFill>
                  <pic:spPr>
                    <a:xfrm>
                      <a:off x="0" y="0"/>
                      <a:ext cx="5806440" cy="8202930"/>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70245" cy="4084320"/>
            <wp:effectExtent l="0" t="0" r="5715" b="0"/>
            <wp:docPr id="33" name="图片 33" descr="辐射安全许可证（202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辐射安全许可证（2023）_03"/>
                    <pic:cNvPicPr>
                      <a:picLocks noChangeAspect="1"/>
                    </pic:cNvPicPr>
                  </pic:nvPicPr>
                  <pic:blipFill>
                    <a:blip r:embed="rId49"/>
                    <a:stretch>
                      <a:fillRect/>
                    </a:stretch>
                  </pic:blipFill>
                  <pic:spPr>
                    <a:xfrm>
                      <a:off x="0" y="0"/>
                      <a:ext cx="5770245" cy="4084320"/>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89295" cy="4098290"/>
            <wp:effectExtent l="0" t="0" r="1905" b="1270"/>
            <wp:docPr id="32" name="图片 32" descr="辐射安全许可证（202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辐射安全许可证（2023）_04"/>
                    <pic:cNvPicPr>
                      <a:picLocks noChangeAspect="1"/>
                    </pic:cNvPicPr>
                  </pic:nvPicPr>
                  <pic:blipFill>
                    <a:blip r:embed="rId50"/>
                    <a:stretch>
                      <a:fillRect/>
                    </a:stretch>
                  </pic:blipFill>
                  <pic:spPr>
                    <a:xfrm>
                      <a:off x="0" y="0"/>
                      <a:ext cx="5789295" cy="4098290"/>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41670" cy="4064635"/>
            <wp:effectExtent l="0" t="0" r="3810" b="4445"/>
            <wp:docPr id="31" name="图片 31" descr="辐射安全许可证（202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辐射安全许可证（2023）_05"/>
                    <pic:cNvPicPr>
                      <a:picLocks noChangeAspect="1"/>
                    </pic:cNvPicPr>
                  </pic:nvPicPr>
                  <pic:blipFill>
                    <a:blip r:embed="rId51"/>
                    <a:stretch>
                      <a:fillRect/>
                    </a:stretch>
                  </pic:blipFill>
                  <pic:spPr>
                    <a:xfrm>
                      <a:off x="0" y="0"/>
                      <a:ext cx="5741670" cy="4064635"/>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41035" cy="4064000"/>
            <wp:effectExtent l="0" t="0" r="4445" b="5080"/>
            <wp:docPr id="30" name="图片 30" descr="辐射安全许可证（202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辐射安全许可证（2023）_06"/>
                    <pic:cNvPicPr>
                      <a:picLocks noChangeAspect="1"/>
                    </pic:cNvPicPr>
                  </pic:nvPicPr>
                  <pic:blipFill>
                    <a:blip r:embed="rId52"/>
                    <a:stretch>
                      <a:fillRect/>
                    </a:stretch>
                  </pic:blipFill>
                  <pic:spPr>
                    <a:xfrm>
                      <a:off x="0" y="0"/>
                      <a:ext cx="5741035" cy="4064000"/>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56910" cy="4074795"/>
            <wp:effectExtent l="0" t="0" r="3810" b="9525"/>
            <wp:docPr id="29" name="图片 29" descr="辐射安全许可证（202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辐射安全许可证（2023）_07"/>
                    <pic:cNvPicPr>
                      <a:picLocks noChangeAspect="1"/>
                    </pic:cNvPicPr>
                  </pic:nvPicPr>
                  <pic:blipFill>
                    <a:blip r:embed="rId53"/>
                    <a:stretch>
                      <a:fillRect/>
                    </a:stretch>
                  </pic:blipFill>
                  <pic:spPr>
                    <a:xfrm>
                      <a:off x="0" y="0"/>
                      <a:ext cx="5756910" cy="4074795"/>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70880" cy="4085590"/>
            <wp:effectExtent l="0" t="0" r="5080" b="13970"/>
            <wp:docPr id="28" name="图片 28" descr="辐射安全许可证（202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辐射安全许可证（2023）_08"/>
                    <pic:cNvPicPr>
                      <a:picLocks noChangeAspect="1"/>
                    </pic:cNvPicPr>
                  </pic:nvPicPr>
                  <pic:blipFill>
                    <a:blip r:embed="rId54"/>
                    <a:stretch>
                      <a:fillRect/>
                    </a:stretch>
                  </pic:blipFill>
                  <pic:spPr>
                    <a:xfrm>
                      <a:off x="0" y="0"/>
                      <a:ext cx="5770880" cy="4085590"/>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74055" cy="4087495"/>
            <wp:effectExtent l="0" t="0" r="1905" b="12065"/>
            <wp:docPr id="27" name="图片 27" descr="辐射安全许可证（202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辐射安全许可证（2023）_09"/>
                    <pic:cNvPicPr>
                      <a:picLocks noChangeAspect="1"/>
                    </pic:cNvPicPr>
                  </pic:nvPicPr>
                  <pic:blipFill>
                    <a:blip r:embed="rId55"/>
                    <a:stretch>
                      <a:fillRect/>
                    </a:stretch>
                  </pic:blipFill>
                  <pic:spPr>
                    <a:xfrm>
                      <a:off x="0" y="0"/>
                      <a:ext cx="5774055" cy="4087495"/>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15635" cy="4045585"/>
            <wp:effectExtent l="0" t="0" r="14605" b="8255"/>
            <wp:docPr id="26" name="图片 26" descr="辐射安全许可证（202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辐射安全许可证（2023）_10"/>
                    <pic:cNvPicPr>
                      <a:picLocks noChangeAspect="1"/>
                    </pic:cNvPicPr>
                  </pic:nvPicPr>
                  <pic:blipFill>
                    <a:blip r:embed="rId56"/>
                    <a:stretch>
                      <a:fillRect/>
                    </a:stretch>
                  </pic:blipFill>
                  <pic:spPr>
                    <a:xfrm>
                      <a:off x="0" y="0"/>
                      <a:ext cx="5715635" cy="4045585"/>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51830" cy="4071620"/>
            <wp:effectExtent l="0" t="0" r="8890" b="12700"/>
            <wp:docPr id="25" name="图片 25" descr="辐射安全许可证（202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辐射安全许可证（2023）_11"/>
                    <pic:cNvPicPr>
                      <a:picLocks noChangeAspect="1"/>
                    </pic:cNvPicPr>
                  </pic:nvPicPr>
                  <pic:blipFill>
                    <a:blip r:embed="rId57"/>
                    <a:stretch>
                      <a:fillRect/>
                    </a:stretch>
                  </pic:blipFill>
                  <pic:spPr>
                    <a:xfrm>
                      <a:off x="0" y="0"/>
                      <a:ext cx="5751830" cy="4071620"/>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51830" cy="4071620"/>
            <wp:effectExtent l="0" t="0" r="8890" b="12700"/>
            <wp:docPr id="24" name="图片 24" descr="辐射安全许可证（2023）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辐射安全许可证（2023）_12"/>
                    <pic:cNvPicPr>
                      <a:picLocks noChangeAspect="1"/>
                    </pic:cNvPicPr>
                  </pic:nvPicPr>
                  <pic:blipFill>
                    <a:blip r:embed="rId58"/>
                    <a:stretch>
                      <a:fillRect/>
                    </a:stretch>
                  </pic:blipFill>
                  <pic:spPr>
                    <a:xfrm>
                      <a:off x="0" y="0"/>
                      <a:ext cx="5751830" cy="4071620"/>
                    </a:xfrm>
                    <a:prstGeom prst="rect">
                      <a:avLst/>
                    </a:prstGeom>
                  </pic:spPr>
                </pic:pic>
              </a:graphicData>
            </a:graphic>
          </wp:inline>
        </w:drawing>
      </w:r>
    </w:p>
    <w:p>
      <w:pPr>
        <w:rPr>
          <w:rFonts w:hint="eastAsia" w:ascii="仿宋" w:hAnsi="仿宋" w:eastAsia="仿宋" w:cs="仿宋"/>
          <w:b/>
          <w:bCs/>
          <w:sz w:val="24"/>
          <w:szCs w:val="24"/>
          <w:highlight w:val="none"/>
          <w:lang w:val="en-US" w:eastAsia="zh-CN"/>
        </w:rPr>
      </w:pPr>
      <w:r>
        <w:rPr>
          <w:rFonts w:hint="eastAsia" w:ascii="仿宋" w:hAnsi="仿宋" w:eastAsia="仿宋" w:cs="仿宋"/>
          <w:b/>
          <w:bCs/>
          <w:sz w:val="24"/>
          <w:szCs w:val="24"/>
          <w:highlight w:val="none"/>
          <w:lang w:val="en-US" w:eastAsia="zh-CN"/>
        </w:rPr>
        <w:br w:type="page"/>
      </w:r>
    </w:p>
    <w:p>
      <w:pPr>
        <w:pStyle w:val="4"/>
        <w:bidi w:val="0"/>
        <w:rPr>
          <w:rFonts w:hint="eastAsia" w:ascii="仿宋" w:hAnsi="仿宋" w:eastAsia="仿宋" w:cs="仿宋"/>
          <w:sz w:val="28"/>
          <w:szCs w:val="28"/>
          <w:highlight w:val="none"/>
          <w:lang w:val="en-US" w:eastAsia="zh-CN"/>
        </w:rPr>
      </w:pPr>
      <w:bookmarkStart w:id="412" w:name="_Toc12700"/>
      <w:r>
        <w:rPr>
          <w:rFonts w:hint="eastAsia" w:ascii="仿宋" w:hAnsi="仿宋" w:eastAsia="仿宋" w:cs="仿宋"/>
          <w:sz w:val="28"/>
          <w:szCs w:val="28"/>
          <w:highlight w:val="none"/>
          <w:lang w:val="en-US" w:eastAsia="zh-CN"/>
        </w:rPr>
        <w:t>附件2 放射源进口审批表</w:t>
      </w:r>
      <w:bookmarkEnd w:id="412"/>
    </w:p>
    <w:p>
      <w:pPr>
        <w:tabs>
          <w:tab w:val="left" w:pos="1440"/>
        </w:tabs>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drawing>
          <wp:inline distT="0" distB="0" distL="114300" distR="114300">
            <wp:extent cx="5535930" cy="7822565"/>
            <wp:effectExtent l="0" t="0" r="11430" b="10795"/>
            <wp:docPr id="8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1"/>
                    <pic:cNvPicPr>
                      <a:picLocks noChangeAspect="1"/>
                    </pic:cNvPicPr>
                  </pic:nvPicPr>
                  <pic:blipFill>
                    <a:blip r:embed="rId59"/>
                    <a:stretch>
                      <a:fillRect/>
                    </a:stretch>
                  </pic:blipFill>
                  <pic:spPr>
                    <a:xfrm>
                      <a:off x="0" y="0"/>
                      <a:ext cx="5535930" cy="7822565"/>
                    </a:xfrm>
                    <a:prstGeom prst="rect">
                      <a:avLst/>
                    </a:prstGeom>
                    <a:noFill/>
                    <a:ln>
                      <a:noFill/>
                    </a:ln>
                  </pic:spPr>
                </pic:pic>
              </a:graphicData>
            </a:graphic>
          </wp:inline>
        </w:drawing>
      </w:r>
    </w:p>
    <w:p>
      <w:pPr>
        <w:tabs>
          <w:tab w:val="left" w:pos="1440"/>
        </w:tabs>
        <w:spacing w:line="360" w:lineRule="auto"/>
        <w:rPr>
          <w:rFonts w:hint="eastAsia" w:ascii="仿宋" w:hAnsi="仿宋" w:eastAsia="仿宋" w:cs="仿宋"/>
          <w:b/>
          <w:sz w:val="28"/>
          <w:szCs w:val="28"/>
          <w:highlight w:val="none"/>
        </w:rPr>
      </w:pPr>
    </w:p>
    <w:p>
      <w:pPr>
        <w:tabs>
          <w:tab w:val="left" w:pos="1440"/>
        </w:tabs>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drawing>
          <wp:inline distT="0" distB="0" distL="114300" distR="114300">
            <wp:extent cx="5697855" cy="8329930"/>
            <wp:effectExtent l="0" t="0" r="1905" b="6350"/>
            <wp:docPr id="8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2"/>
                    <pic:cNvPicPr>
                      <a:picLocks noChangeAspect="1"/>
                    </pic:cNvPicPr>
                  </pic:nvPicPr>
                  <pic:blipFill>
                    <a:blip r:embed="rId60"/>
                    <a:srcRect l="4868" t="2284" r="3715" b="3124"/>
                    <a:stretch>
                      <a:fillRect/>
                    </a:stretch>
                  </pic:blipFill>
                  <pic:spPr>
                    <a:xfrm>
                      <a:off x="0" y="0"/>
                      <a:ext cx="5697855" cy="8329930"/>
                    </a:xfrm>
                    <a:prstGeom prst="rect">
                      <a:avLst/>
                    </a:prstGeom>
                    <a:noFill/>
                    <a:ln>
                      <a:noFill/>
                    </a:ln>
                  </pic:spPr>
                </pic:pic>
              </a:graphicData>
            </a:graphic>
          </wp:inline>
        </w:drawing>
      </w:r>
    </w:p>
    <w:p>
      <w:pPr>
        <w:pStyle w:val="4"/>
        <w:bidi w:val="0"/>
        <w:rPr>
          <w:rFonts w:hint="eastAsia" w:ascii="仿宋" w:hAnsi="仿宋" w:eastAsia="仿宋" w:cs="仿宋"/>
          <w:sz w:val="28"/>
          <w:szCs w:val="28"/>
          <w:highlight w:val="none"/>
          <w:lang w:val="en-US" w:eastAsia="zh-CN"/>
        </w:rPr>
      </w:pPr>
      <w:bookmarkStart w:id="413" w:name="_Toc32194"/>
      <w:r>
        <w:rPr>
          <w:rFonts w:hint="eastAsia" w:ascii="仿宋" w:hAnsi="仿宋" w:eastAsia="仿宋" w:cs="仿宋"/>
          <w:sz w:val="28"/>
          <w:szCs w:val="28"/>
          <w:highlight w:val="none"/>
          <w:lang w:val="en-US" w:eastAsia="zh-CN"/>
        </w:rPr>
        <w:t>附件3 放射源仪表台账</w:t>
      </w:r>
      <w:bookmarkEnd w:id="413"/>
    </w:p>
    <w:p>
      <w:pPr>
        <w:tabs>
          <w:tab w:val="left" w:pos="1440"/>
        </w:tabs>
        <w:spacing w:line="360" w:lineRule="auto"/>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7564120" cy="5116830"/>
            <wp:effectExtent l="0" t="0" r="3810" b="10160"/>
            <wp:docPr id="8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3"/>
                    <pic:cNvPicPr>
                      <a:picLocks noChangeAspect="1"/>
                    </pic:cNvPicPr>
                  </pic:nvPicPr>
                  <pic:blipFill>
                    <a:blip r:embed="rId61"/>
                    <a:srcRect l="8533" t="6557" r="4219" b="11476"/>
                    <a:stretch>
                      <a:fillRect/>
                    </a:stretch>
                  </pic:blipFill>
                  <pic:spPr>
                    <a:xfrm rot="16200000">
                      <a:off x="0" y="0"/>
                      <a:ext cx="7564120" cy="5116830"/>
                    </a:xfrm>
                    <a:prstGeom prst="rect">
                      <a:avLst/>
                    </a:prstGeom>
                    <a:noFill/>
                    <a:ln>
                      <a:noFill/>
                    </a:ln>
                  </pic:spPr>
                </pic:pic>
              </a:graphicData>
            </a:graphic>
          </wp:inline>
        </w:drawing>
      </w:r>
    </w:p>
    <w:p>
      <w:pPr>
        <w:pStyle w:val="4"/>
        <w:bidi w:val="0"/>
        <w:rPr>
          <w:rFonts w:hint="eastAsia" w:ascii="仿宋" w:hAnsi="仿宋" w:eastAsia="仿宋" w:cs="仿宋"/>
          <w:b/>
          <w:bCs/>
          <w:sz w:val="24"/>
          <w:szCs w:val="24"/>
          <w:highlight w:val="none"/>
          <w:lang w:val="en-US" w:eastAsia="zh-CN"/>
        </w:rPr>
      </w:pPr>
      <w:bookmarkStart w:id="414" w:name="_Toc13794"/>
      <w:r>
        <w:rPr>
          <w:rFonts w:hint="eastAsia" w:ascii="仿宋" w:hAnsi="仿宋" w:eastAsia="仿宋" w:cs="仿宋"/>
          <w:b/>
          <w:kern w:val="44"/>
          <w:sz w:val="28"/>
          <w:szCs w:val="28"/>
          <w:highlight w:val="none"/>
          <w:lang w:val="en-US" w:eastAsia="zh-CN" w:bidi="ar-SA"/>
        </w:rPr>
        <w:t>附件</w:t>
      </w:r>
      <w:bookmarkStart w:id="415" w:name="_Toc7590"/>
      <w:r>
        <w:rPr>
          <w:rFonts w:hint="eastAsia" w:ascii="仿宋" w:hAnsi="仿宋" w:eastAsia="仿宋" w:cs="仿宋"/>
          <w:b/>
          <w:kern w:val="44"/>
          <w:sz w:val="28"/>
          <w:szCs w:val="28"/>
          <w:highlight w:val="none"/>
          <w:lang w:val="en-US" w:eastAsia="zh-CN" w:bidi="ar-SA"/>
        </w:rPr>
        <w:t>4 应急通讯录</w:t>
      </w:r>
      <w:bookmarkEnd w:id="414"/>
      <w:bookmarkEnd w:id="415"/>
    </w:p>
    <w:p>
      <w:pPr>
        <w:bidi w:val="0"/>
        <w:jc w:val="center"/>
        <w:rPr>
          <w:rFonts w:hint="eastAsia" w:ascii="仿宋" w:hAnsi="仿宋" w:eastAsia="仿宋" w:cs="仿宋"/>
          <w:b/>
          <w:bCs/>
          <w:highlight w:val="none"/>
          <w:lang w:eastAsia="zh-CN"/>
        </w:rPr>
      </w:pPr>
      <w:r>
        <w:rPr>
          <w:rFonts w:hint="eastAsia" w:ascii="仿宋" w:hAnsi="仿宋" w:eastAsia="仿宋" w:cs="仿宋"/>
          <w:b/>
          <w:bCs/>
          <w:highlight w:val="none"/>
          <w:lang w:eastAsia="zh-CN"/>
        </w:rPr>
        <w:t>外部信息报告单位一览表</w:t>
      </w:r>
    </w:p>
    <w:tbl>
      <w:tblPr>
        <w:tblStyle w:val="15"/>
        <w:tblW w:w="492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4060"/>
        <w:gridCol w:w="3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序号</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单位名称</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1</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 xml:space="preserve">自治区应急救援指挥中心总值班电话 </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0471-6961166-224</w:t>
            </w:r>
          </w:p>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0471-6969065（传真）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2</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公  安</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3</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消  防</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4</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急  救</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5</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呼和浩特市生态环境局应急值班电话</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lang w:val="en-US" w:eastAsia="zh-CN"/>
              </w:rPr>
              <w:t>0471-4617821、4617887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6</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呼和浩特市生态环境局</w:t>
            </w:r>
            <w:r>
              <w:rPr>
                <w:rFonts w:hint="eastAsia" w:ascii="仿宋" w:hAnsi="仿宋" w:eastAsia="仿宋" w:cs="仿宋"/>
                <w:color w:val="auto"/>
                <w:sz w:val="24"/>
                <w:szCs w:val="32"/>
                <w:highlight w:val="none"/>
                <w:lang w:val="en-US" w:eastAsia="zh-CN"/>
              </w:rPr>
              <w:t>赛罕区分局</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lang w:val="en-US" w:eastAsia="zh-CN"/>
              </w:rPr>
              <w:t>0471-4315109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7</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呼和浩特市应急管理局应急值班电话</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0471-5169922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8</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赛罕区应急管理局应急值班电话</w:t>
            </w:r>
          </w:p>
        </w:tc>
        <w:tc>
          <w:tcPr>
            <w:tcW w:w="1858" w:type="pct"/>
            <w:noWrap w:val="0"/>
            <w:vAlign w:val="center"/>
          </w:tcPr>
          <w:p>
            <w:pPr>
              <w:jc w:val="center"/>
              <w:rPr>
                <w:rFonts w:hint="eastAsia" w:ascii="仿宋" w:hAnsi="仿宋" w:eastAsia="仿宋" w:cs="仿宋"/>
                <w:color w:val="auto"/>
                <w:sz w:val="24"/>
                <w:szCs w:val="32"/>
                <w:highlight w:val="none"/>
                <w:lang w:val="en-US" w:eastAsia="zh-CN"/>
              </w:rPr>
            </w:pPr>
            <w:r>
              <w:rPr>
                <w:rFonts w:hint="eastAsia" w:ascii="仿宋" w:hAnsi="仿宋" w:eastAsia="仿宋" w:cs="仿宋"/>
                <w:color w:val="auto"/>
                <w:sz w:val="24"/>
                <w:szCs w:val="32"/>
                <w:highlight w:val="none"/>
              </w:rPr>
              <w:t>0471-</w:t>
            </w:r>
            <w:r>
              <w:rPr>
                <w:rFonts w:hint="eastAsia" w:ascii="仿宋" w:hAnsi="仿宋" w:eastAsia="仿宋" w:cs="仿宋"/>
                <w:color w:val="auto"/>
                <w:sz w:val="24"/>
                <w:szCs w:val="32"/>
                <w:highlight w:val="none"/>
                <w:lang w:val="en-US" w:eastAsia="zh-CN"/>
              </w:rPr>
              <w:t>2849722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9</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化学事故应急指挥中心</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0471-6963734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10</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特种设备事故应急指挥中心</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0471-6942313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11</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工程建设事故应急指挥中心</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0471-6945597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12</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呼和浩特市应急指挥中心</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0471-4606538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13</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赛罕区应急电话</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0471-4341114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w:t>
            </w:r>
            <w:r>
              <w:rPr>
                <w:rFonts w:hint="eastAsia" w:ascii="仿宋" w:hAnsi="仿宋" w:eastAsia="仿宋" w:cs="仿宋"/>
                <w:color w:val="auto"/>
                <w:sz w:val="24"/>
                <w:szCs w:val="32"/>
                <w:highlight w:val="none"/>
                <w:lang w:val="en-US" w:eastAsia="zh-CN"/>
              </w:rPr>
              <w:t>4</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金桥开发区应急管理办公室</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0471-3364038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w:t>
            </w:r>
            <w:r>
              <w:rPr>
                <w:rFonts w:hint="eastAsia" w:ascii="仿宋" w:hAnsi="仿宋" w:eastAsia="仿宋" w:cs="仿宋"/>
                <w:color w:val="auto"/>
                <w:sz w:val="24"/>
                <w:szCs w:val="32"/>
                <w:highlight w:val="none"/>
                <w:lang w:val="en-US" w:eastAsia="zh-CN"/>
              </w:rPr>
              <w:t>5</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lang w:val="en-US" w:eastAsia="zh-CN"/>
              </w:rPr>
              <w:t>武警内蒙古总队医院</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0471-3326500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w:t>
            </w:r>
            <w:r>
              <w:rPr>
                <w:rFonts w:hint="eastAsia" w:ascii="仿宋" w:hAnsi="仿宋" w:eastAsia="仿宋" w:cs="仿宋"/>
                <w:color w:val="auto"/>
                <w:sz w:val="24"/>
                <w:szCs w:val="32"/>
                <w:highlight w:val="none"/>
                <w:lang w:val="en-US" w:eastAsia="zh-CN"/>
              </w:rPr>
              <w:t>6</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天津中环光伏材料有限公司</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0471-3252375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721" w:type="pct"/>
            <w:noWrap w:val="0"/>
            <w:vAlign w:val="center"/>
          </w:tcPr>
          <w:p>
            <w:pPr>
              <w:jc w:val="center"/>
              <w:rPr>
                <w:rFonts w:hint="eastAsia" w:ascii="仿宋" w:hAnsi="仿宋" w:eastAsia="仿宋" w:cs="仿宋"/>
                <w:color w:val="auto"/>
                <w:sz w:val="24"/>
                <w:szCs w:val="32"/>
                <w:highlight w:val="none"/>
                <w:lang w:val="en-US" w:eastAsia="zh-CN"/>
              </w:rPr>
            </w:pPr>
            <w:r>
              <w:rPr>
                <w:rFonts w:hint="eastAsia" w:ascii="仿宋" w:hAnsi="仿宋" w:eastAsia="仿宋" w:cs="仿宋"/>
                <w:color w:val="auto"/>
                <w:sz w:val="24"/>
                <w:szCs w:val="32"/>
                <w:highlight w:val="none"/>
                <w:lang w:val="en-US" w:eastAsia="zh-CN"/>
              </w:rPr>
              <w:t>17</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金桥电厂</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0471-2395031</w:t>
            </w:r>
          </w:p>
        </w:tc>
      </w:tr>
    </w:tbl>
    <w:p>
      <w:pPr>
        <w:rPr>
          <w:rFonts w:hint="eastAsia" w:ascii="仿宋" w:hAnsi="仿宋" w:eastAsia="仿宋" w:cs="仿宋"/>
          <w:b/>
          <w:bCs/>
          <w:sz w:val="24"/>
          <w:szCs w:val="24"/>
          <w:highlight w:val="none"/>
          <w:lang w:val="en-US" w:eastAsia="zh-CN"/>
        </w:rPr>
      </w:pPr>
      <w:r>
        <w:rPr>
          <w:rFonts w:hint="eastAsia" w:ascii="仿宋" w:hAnsi="仿宋" w:eastAsia="仿宋" w:cs="仿宋"/>
          <w:b/>
          <w:bCs/>
          <w:sz w:val="24"/>
          <w:szCs w:val="24"/>
          <w:highlight w:val="none"/>
          <w:lang w:val="en-US" w:eastAsia="zh-CN"/>
        </w:rPr>
        <w:br w:type="page"/>
      </w:r>
    </w:p>
    <w:p>
      <w:pPr>
        <w:pStyle w:val="4"/>
        <w:bidi w:val="0"/>
        <w:rPr>
          <w:rFonts w:hint="eastAsia" w:ascii="仿宋" w:hAnsi="仿宋" w:eastAsia="仿宋" w:cs="仿宋"/>
          <w:b/>
          <w:kern w:val="44"/>
          <w:sz w:val="28"/>
          <w:szCs w:val="28"/>
          <w:highlight w:val="none"/>
          <w:lang w:val="en-US" w:eastAsia="zh-CN" w:bidi="ar-SA"/>
        </w:rPr>
      </w:pPr>
      <w:bookmarkStart w:id="416" w:name="_Toc13560"/>
      <w:bookmarkStart w:id="417" w:name="_Toc633"/>
      <w:bookmarkStart w:id="418" w:name="_Toc5218"/>
      <w:r>
        <w:rPr>
          <w:rFonts w:hint="eastAsia" w:ascii="仿宋" w:hAnsi="仿宋" w:eastAsia="仿宋" w:cs="仿宋"/>
          <w:b/>
          <w:kern w:val="44"/>
          <w:sz w:val="28"/>
          <w:szCs w:val="28"/>
          <w:highlight w:val="none"/>
          <w:lang w:val="en-US" w:eastAsia="zh-CN" w:bidi="ar-SA"/>
        </w:rPr>
        <w:t>附件5 突发环境事件信息快报表</w:t>
      </w:r>
      <w:bookmarkEnd w:id="416"/>
      <w:bookmarkEnd w:id="417"/>
      <w:bookmarkEnd w:id="418"/>
    </w:p>
    <w:p>
      <w:pPr>
        <w:ind w:firstLine="300" w:firstLineChars="100"/>
        <w:rPr>
          <w:rFonts w:hint="eastAsia" w:ascii="仿宋" w:hAnsi="仿宋" w:eastAsia="仿宋" w:cs="仿宋"/>
          <w:sz w:val="30"/>
          <w:szCs w:val="30"/>
          <w:highlight w:val="none"/>
          <w:u w:val="none"/>
          <w:lang w:val="en-US" w:eastAsia="zh-CN"/>
        </w:rPr>
      </w:pPr>
      <w:bookmarkStart w:id="419" w:name="_Toc17571"/>
      <w:bookmarkStart w:id="420" w:name="_Toc14682"/>
      <w:r>
        <w:rPr>
          <w:rFonts w:hint="eastAsia" w:ascii="仿宋" w:hAnsi="仿宋" w:eastAsia="仿宋" w:cs="仿宋"/>
          <w:sz w:val="30"/>
          <w:szCs w:val="30"/>
          <w:highlight w:val="none"/>
          <w:u w:val="none"/>
        </w:rPr>
        <w:drawing>
          <wp:inline distT="0" distB="0" distL="114300" distR="114300">
            <wp:extent cx="7886700" cy="5405120"/>
            <wp:effectExtent l="0" t="0" r="5080" b="7620"/>
            <wp:docPr id="8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0"/>
                    <pic:cNvPicPr>
                      <a:picLocks noChangeAspect="1"/>
                    </pic:cNvPicPr>
                  </pic:nvPicPr>
                  <pic:blipFill>
                    <a:blip r:embed="rId62"/>
                    <a:stretch>
                      <a:fillRect/>
                    </a:stretch>
                  </pic:blipFill>
                  <pic:spPr>
                    <a:xfrm rot="16200000">
                      <a:off x="0" y="0"/>
                      <a:ext cx="7886700" cy="5405120"/>
                    </a:xfrm>
                    <a:prstGeom prst="rect">
                      <a:avLst/>
                    </a:prstGeom>
                    <a:noFill/>
                    <a:ln>
                      <a:noFill/>
                    </a:ln>
                  </pic:spPr>
                </pic:pic>
              </a:graphicData>
            </a:graphic>
          </wp:inline>
        </w:drawing>
      </w:r>
      <w:bookmarkEnd w:id="419"/>
      <w:bookmarkEnd w:id="420"/>
    </w:p>
    <w:p>
      <w:pPr>
        <w:pStyle w:val="4"/>
        <w:bidi w:val="0"/>
        <w:rPr>
          <w:rFonts w:hint="eastAsia" w:ascii="仿宋" w:hAnsi="仿宋" w:eastAsia="仿宋" w:cs="仿宋"/>
          <w:b/>
          <w:kern w:val="44"/>
          <w:sz w:val="28"/>
          <w:szCs w:val="28"/>
          <w:highlight w:val="none"/>
          <w:lang w:val="en-US" w:eastAsia="zh-CN" w:bidi="ar-SA"/>
        </w:rPr>
      </w:pPr>
      <w:bookmarkStart w:id="421" w:name="_Toc7614"/>
      <w:r>
        <w:rPr>
          <w:rFonts w:hint="eastAsia" w:ascii="仿宋" w:hAnsi="仿宋" w:eastAsia="仿宋" w:cs="仿宋"/>
          <w:b/>
          <w:kern w:val="44"/>
          <w:sz w:val="28"/>
          <w:szCs w:val="28"/>
          <w:highlight w:val="none"/>
          <w:lang w:val="en-US" w:eastAsia="zh-CN" w:bidi="ar-SA"/>
        </w:rPr>
        <w:t>附件6 放射源安全和防护管理办法</w:t>
      </w:r>
      <w:bookmarkEnd w:id="421"/>
    </w:p>
    <w:p>
      <w:pPr>
        <w:rPr>
          <w:rFonts w:hint="eastAsia" w:ascii="仿宋" w:hAnsi="仿宋" w:eastAsia="仿宋" w:cs="仿宋"/>
          <w:sz w:val="28"/>
          <w:szCs w:val="28"/>
          <w:highlight w:val="none"/>
        </w:rPr>
      </w:pPr>
    </w:p>
    <w:p>
      <w:pPr>
        <w:jc w:val="center"/>
        <w:rPr>
          <w:rFonts w:hint="eastAsia" w:ascii="仿宋" w:hAnsi="仿宋" w:eastAsia="仿宋" w:cs="仿宋"/>
          <w:bCs/>
          <w:spacing w:val="30"/>
          <w:sz w:val="44"/>
          <w:szCs w:val="44"/>
          <w:highlight w:val="none"/>
        </w:rPr>
      </w:pPr>
      <w:r>
        <w:rPr>
          <w:rFonts w:hint="eastAsia" w:ascii="仿宋" w:hAnsi="仿宋" w:eastAsia="仿宋" w:cs="仿宋"/>
          <w:bCs/>
          <w:spacing w:val="30"/>
          <w:sz w:val="44"/>
          <w:szCs w:val="44"/>
          <w:highlight w:val="none"/>
        </w:rPr>
        <w:t>放射源安全和防护管理办法</w:t>
      </w:r>
    </w:p>
    <w:p>
      <w:pPr>
        <w:jc w:val="center"/>
        <w:rPr>
          <w:rFonts w:hint="eastAsia" w:ascii="仿宋" w:hAnsi="仿宋" w:eastAsia="仿宋" w:cs="仿宋"/>
          <w:sz w:val="32"/>
          <w:szCs w:val="32"/>
          <w:highlight w:val="none"/>
        </w:rPr>
      </w:pPr>
    </w:p>
    <w:p>
      <w:pPr>
        <w:jc w:val="center"/>
        <w:rPr>
          <w:rFonts w:hint="eastAsia" w:ascii="仿宋" w:hAnsi="仿宋" w:eastAsia="仿宋" w:cs="仿宋"/>
          <w:sz w:val="32"/>
          <w:szCs w:val="32"/>
          <w:highlight w:val="none"/>
        </w:rPr>
      </w:pPr>
    </w:p>
    <w:p>
      <w:pPr>
        <w:jc w:val="center"/>
        <w:rPr>
          <w:rFonts w:hint="eastAsia" w:ascii="仿宋" w:hAnsi="仿宋" w:eastAsia="仿宋" w:cs="仿宋"/>
          <w:sz w:val="32"/>
          <w:szCs w:val="32"/>
          <w:highlight w:val="none"/>
        </w:rPr>
      </w:pPr>
    </w:p>
    <w:p>
      <w:pPr>
        <w:jc w:val="center"/>
        <w:rPr>
          <w:rFonts w:hint="eastAsia" w:ascii="仿宋" w:hAnsi="仿宋" w:eastAsia="仿宋" w:cs="仿宋"/>
          <w:sz w:val="32"/>
          <w:szCs w:val="32"/>
          <w:highlight w:val="none"/>
        </w:rPr>
      </w:pPr>
    </w:p>
    <w:p>
      <w:pPr>
        <w:ind w:firstLine="1280" w:firstLineChars="400"/>
        <w:jc w:val="center"/>
        <w:rPr>
          <w:rFonts w:hint="eastAsia" w:ascii="仿宋" w:hAnsi="仿宋" w:eastAsia="仿宋" w:cs="仿宋"/>
          <w:sz w:val="32"/>
          <w:szCs w:val="32"/>
          <w:highlight w:val="none"/>
        </w:rPr>
      </w:pPr>
    </w:p>
    <w:p>
      <w:pPr>
        <w:ind w:firstLine="1280" w:firstLineChars="400"/>
        <w:jc w:val="center"/>
        <w:rPr>
          <w:rFonts w:hint="eastAsia" w:ascii="仿宋" w:hAnsi="仿宋" w:eastAsia="仿宋" w:cs="仿宋"/>
          <w:sz w:val="32"/>
          <w:szCs w:val="32"/>
          <w:highlight w:val="none"/>
        </w:rPr>
      </w:pPr>
    </w:p>
    <w:p>
      <w:pPr>
        <w:ind w:firstLine="1280" w:firstLineChars="400"/>
        <w:jc w:val="center"/>
        <w:rPr>
          <w:rFonts w:hint="eastAsia" w:ascii="仿宋" w:hAnsi="仿宋" w:eastAsia="仿宋" w:cs="仿宋"/>
          <w:sz w:val="32"/>
          <w:szCs w:val="32"/>
          <w:highlight w:val="none"/>
        </w:rPr>
      </w:pPr>
    </w:p>
    <w:p>
      <w:pPr>
        <w:ind w:firstLine="360" w:firstLineChars="100"/>
        <w:rPr>
          <w:rFonts w:hint="eastAsia" w:ascii="仿宋" w:hAnsi="仿宋" w:eastAsia="仿宋" w:cs="仿宋"/>
          <w:sz w:val="30"/>
          <w:szCs w:val="30"/>
          <w:highlight w:val="none"/>
          <w:u w:val="single"/>
        </w:rPr>
      </w:pPr>
      <w:r>
        <w:rPr>
          <w:rFonts w:hint="eastAsia" w:ascii="仿宋" w:hAnsi="仿宋" w:eastAsia="仿宋" w:cs="仿宋"/>
          <w:sz w:val="36"/>
          <w:szCs w:val="32"/>
          <w:highlight w:val="none"/>
        </w:rPr>
        <w:t>编制单位:</w:t>
      </w:r>
      <w:r>
        <w:rPr>
          <w:rFonts w:hint="eastAsia" w:ascii="仿宋" w:hAnsi="仿宋" w:eastAsia="仿宋" w:cs="仿宋"/>
          <w:sz w:val="36"/>
          <w:szCs w:val="32"/>
          <w:highlight w:val="none"/>
          <w:u w:val="single"/>
        </w:rPr>
        <w:t xml:space="preserve"> </w:t>
      </w:r>
      <w:r>
        <w:rPr>
          <w:rFonts w:hint="eastAsia" w:ascii="仿宋" w:hAnsi="仿宋" w:eastAsia="仿宋" w:cs="仿宋"/>
          <w:sz w:val="30"/>
          <w:szCs w:val="30"/>
          <w:highlight w:val="none"/>
          <w:u w:val="single"/>
        </w:rPr>
        <w:t xml:space="preserve">中国石油天然气股份有限呼和浩特石化分公司  </w:t>
      </w:r>
    </w:p>
    <w:p>
      <w:pPr>
        <w:ind w:firstLine="360" w:firstLineChars="100"/>
        <w:rPr>
          <w:rFonts w:hint="eastAsia" w:ascii="仿宋" w:hAnsi="仿宋" w:eastAsia="仿宋" w:cs="仿宋"/>
          <w:sz w:val="36"/>
          <w:szCs w:val="32"/>
          <w:highlight w:val="none"/>
          <w:u w:val="single"/>
        </w:rPr>
      </w:pPr>
    </w:p>
    <w:p>
      <w:pPr>
        <w:ind w:firstLine="1440" w:firstLineChars="400"/>
        <w:jc w:val="center"/>
        <w:rPr>
          <w:rFonts w:hint="eastAsia" w:ascii="仿宋" w:hAnsi="仿宋" w:eastAsia="仿宋" w:cs="仿宋"/>
          <w:sz w:val="36"/>
          <w:szCs w:val="32"/>
          <w:highlight w:val="none"/>
        </w:rPr>
      </w:pPr>
    </w:p>
    <w:p>
      <w:pPr>
        <w:rPr>
          <w:rFonts w:hint="eastAsia" w:ascii="仿宋" w:hAnsi="仿宋" w:eastAsia="仿宋" w:cs="仿宋"/>
          <w:b/>
          <w:sz w:val="28"/>
          <w:szCs w:val="28"/>
          <w:highlight w:val="none"/>
        </w:rPr>
      </w:pPr>
      <w:r>
        <w:rPr>
          <w:rFonts w:hint="eastAsia" w:ascii="仿宋" w:hAnsi="仿宋" w:eastAsia="仿宋" w:cs="仿宋"/>
          <w:b/>
          <w:sz w:val="28"/>
          <w:szCs w:val="28"/>
          <w:highlight w:val="none"/>
        </w:rPr>
        <w:br w:type="page"/>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1目的：</w:t>
      </w:r>
    </w:p>
    <w:p>
      <w:pPr>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加强放射源日常管理，保障放射工作人员身心健康，防止放射对人体的伤害和环境污染。</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2范围：</w:t>
      </w:r>
    </w:p>
    <w:p>
      <w:pPr>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适用呼和浩特石化公司聚丙烯及重整加氢装置放射源（液位计）的场所、人员的安全和防护，废旧放射源的管理。</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3编制依据</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3.1《中华人民共和国放射性污染防治法》</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3.2 《放射性同位素与射线装置安全和防护条例》</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3.3 《城市放射性废物管理办法》</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3.4 《使用密封放射源卫生防护标准》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3.5 《放射工作人员健康标准》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3.6 3.5《放射性同位素与射线装置安全和防护管理办法》，</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4 职责</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 安全环保管理部门</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4.1.1 负责放射源的使用、拆卸、安装的监督管理，并审查作业人员资质。</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4.1.2 负责放射源项目竣工环保验收、环保备案、办理《辐射安全许可证》等工作。</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4.1.3 负责组织放射工作人员接受培训和在培训，协助办理《放射工作人员证》；</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4.1.4 负责建立放射工作人员健康管理档案。</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4.2 设备管理部门</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4.2.1设备管理部门负责放射源防护系统的检维修、安装调试的管理。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4.2.2负责对放射源拆装对外的联系工作。</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4.3放射监测部门</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4.3.1 放射源监测单位负责按期对放射源例行监测、日常维护。</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4.3.2负责做好监测记录档案，并向相关部门进行监测数据的通报。</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4.4 使用单位负责放射源日常安全管理。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4.5 物资采购部门负责暂存放射源库房安全可靠，定时巡检，作好记录。</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4.6 保卫部门负责暂存放射源库房安全保卫工作。</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5. 放射源安全管理要求</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5.1公司现有的放射源种类ⅳ（Ⅴ类）、场所和仪器设备</w:t>
      </w:r>
    </w:p>
    <w:p>
      <w:pPr>
        <w:spacing w:line="360" w:lineRule="auto"/>
        <w:jc w:val="center"/>
        <w:rPr>
          <w:rFonts w:hint="eastAsia" w:ascii="仿宋" w:hAnsi="仿宋" w:eastAsia="仿宋" w:cs="仿宋"/>
          <w:sz w:val="28"/>
          <w:szCs w:val="28"/>
          <w:highlight w:val="none"/>
        </w:rPr>
      </w:pPr>
      <w:r>
        <w:rPr>
          <w:rFonts w:hint="eastAsia" w:ascii="仿宋" w:hAnsi="仿宋" w:eastAsia="仿宋" w:cs="仿宋"/>
          <w:sz w:val="28"/>
          <w:szCs w:val="28"/>
          <w:highlight w:val="none"/>
        </w:rPr>
        <w:t>放射源种类、场所和仪器设备附表</w:t>
      </w:r>
    </w:p>
    <w:tbl>
      <w:tblPr>
        <w:tblStyle w:val="15"/>
        <w:tblW w:w="5000" w:type="pct"/>
        <w:tblInd w:w="0" w:type="dxa"/>
        <w:tblLayout w:type="fixed"/>
        <w:tblCellMar>
          <w:top w:w="0" w:type="dxa"/>
          <w:left w:w="108" w:type="dxa"/>
          <w:bottom w:w="0" w:type="dxa"/>
          <w:right w:w="108" w:type="dxa"/>
        </w:tblCellMar>
      </w:tblPr>
      <w:tblGrid>
        <w:gridCol w:w="431"/>
        <w:gridCol w:w="666"/>
        <w:gridCol w:w="722"/>
        <w:gridCol w:w="664"/>
        <w:gridCol w:w="435"/>
        <w:gridCol w:w="491"/>
        <w:gridCol w:w="588"/>
        <w:gridCol w:w="784"/>
        <w:gridCol w:w="1000"/>
        <w:gridCol w:w="789"/>
        <w:gridCol w:w="679"/>
        <w:gridCol w:w="592"/>
        <w:gridCol w:w="679"/>
      </w:tblGrid>
      <w:tr>
        <w:tblPrEx>
          <w:tblCellMar>
            <w:top w:w="0" w:type="dxa"/>
            <w:left w:w="108" w:type="dxa"/>
            <w:bottom w:w="0" w:type="dxa"/>
            <w:right w:w="108" w:type="dxa"/>
          </w:tblCellMar>
        </w:tblPrEx>
        <w:trPr>
          <w:trHeight w:val="405" w:hRule="atLeast"/>
        </w:trPr>
        <w:tc>
          <w:tcPr>
            <w:tcW w:w="5000" w:type="pct"/>
            <w:gridSpan w:val="13"/>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32"/>
                <w:szCs w:val="32"/>
                <w:highlight w:val="none"/>
              </w:rPr>
            </w:pPr>
            <w:r>
              <w:rPr>
                <w:rFonts w:hint="eastAsia" w:ascii="仿宋" w:hAnsi="仿宋" w:eastAsia="仿宋" w:cs="仿宋"/>
                <w:b/>
                <w:bCs/>
                <w:kern w:val="0"/>
                <w:sz w:val="32"/>
                <w:szCs w:val="32"/>
                <w:highlight w:val="none"/>
              </w:rPr>
              <w:t>呼和浩特石化公司放射性仪表台帐</w:t>
            </w:r>
          </w:p>
        </w:tc>
      </w:tr>
      <w:tr>
        <w:tblPrEx>
          <w:tblCellMar>
            <w:top w:w="0" w:type="dxa"/>
            <w:left w:w="108" w:type="dxa"/>
            <w:bottom w:w="0" w:type="dxa"/>
            <w:right w:w="108" w:type="dxa"/>
          </w:tblCellMar>
        </w:tblPrEx>
        <w:trPr>
          <w:trHeight w:val="285" w:hRule="atLeast"/>
        </w:trPr>
        <w:tc>
          <w:tcPr>
            <w:tcW w:w="253"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序号</w:t>
            </w:r>
          </w:p>
        </w:tc>
        <w:tc>
          <w:tcPr>
            <w:tcW w:w="390"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核素名称</w:t>
            </w:r>
          </w:p>
        </w:tc>
        <w:tc>
          <w:tcPr>
            <w:tcW w:w="423"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出厂日期</w:t>
            </w:r>
          </w:p>
        </w:tc>
        <w:tc>
          <w:tcPr>
            <w:tcW w:w="645" w:type="pct"/>
            <w:gridSpan w:val="2"/>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出厂活度</w:t>
            </w:r>
          </w:p>
        </w:tc>
        <w:tc>
          <w:tcPr>
            <w:tcW w:w="288"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用途</w:t>
            </w:r>
          </w:p>
        </w:tc>
        <w:tc>
          <w:tcPr>
            <w:tcW w:w="345"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仪表位号</w:t>
            </w:r>
          </w:p>
        </w:tc>
        <w:tc>
          <w:tcPr>
            <w:tcW w:w="45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放射源编码</w:t>
            </w:r>
          </w:p>
        </w:tc>
        <w:tc>
          <w:tcPr>
            <w:tcW w:w="586"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生产厂家</w:t>
            </w:r>
            <w:r>
              <w:rPr>
                <w:rFonts w:hint="eastAsia" w:ascii="仿宋" w:hAnsi="仿宋" w:eastAsia="仿宋" w:cs="仿宋"/>
                <w:b/>
                <w:bCs/>
                <w:kern w:val="0"/>
                <w:sz w:val="24"/>
                <w:highlight w:val="none"/>
              </w:rPr>
              <w:br w:type="textWrapping"/>
            </w:r>
            <w:r>
              <w:rPr>
                <w:rFonts w:hint="eastAsia" w:ascii="仿宋" w:hAnsi="仿宋" w:eastAsia="仿宋" w:cs="仿宋"/>
                <w:b/>
                <w:bCs/>
                <w:kern w:val="0"/>
                <w:sz w:val="24"/>
                <w:highlight w:val="none"/>
              </w:rPr>
              <w:t>/品牌</w:t>
            </w:r>
          </w:p>
        </w:tc>
        <w:tc>
          <w:tcPr>
            <w:tcW w:w="463"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使用装置名称</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安装位置</w:t>
            </w:r>
          </w:p>
        </w:tc>
        <w:tc>
          <w:tcPr>
            <w:tcW w:w="347"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射源分类</w:t>
            </w:r>
          </w:p>
        </w:tc>
        <w:tc>
          <w:tcPr>
            <w:tcW w:w="398"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目前状态</w:t>
            </w:r>
          </w:p>
        </w:tc>
      </w:tr>
      <w:tr>
        <w:tblPrEx>
          <w:tblCellMar>
            <w:top w:w="0" w:type="dxa"/>
            <w:left w:w="108" w:type="dxa"/>
            <w:bottom w:w="0" w:type="dxa"/>
            <w:right w:w="108" w:type="dxa"/>
          </w:tblCellMar>
        </w:tblPrEx>
        <w:trPr>
          <w:trHeight w:val="855" w:hRule="atLeast"/>
        </w:trPr>
        <w:tc>
          <w:tcPr>
            <w:tcW w:w="253"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b/>
                <w:bCs/>
                <w:kern w:val="0"/>
                <w:sz w:val="24"/>
                <w:highlight w:val="none"/>
              </w:rPr>
            </w:pPr>
          </w:p>
        </w:tc>
        <w:tc>
          <w:tcPr>
            <w:tcW w:w="390"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b/>
                <w:bCs/>
                <w:kern w:val="0"/>
                <w:sz w:val="24"/>
                <w:highlight w:val="none"/>
              </w:rPr>
            </w:pPr>
          </w:p>
        </w:tc>
        <w:tc>
          <w:tcPr>
            <w:tcW w:w="423"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b/>
                <w:bCs/>
                <w:kern w:val="0"/>
                <w:sz w:val="24"/>
                <w:highlight w:val="none"/>
              </w:rPr>
            </w:pPr>
          </w:p>
        </w:tc>
        <w:tc>
          <w:tcPr>
            <w:tcW w:w="389"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Bq/贝克</w:t>
            </w:r>
          </w:p>
        </w:tc>
        <w:tc>
          <w:tcPr>
            <w:tcW w:w="25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mCi/</w:t>
            </w:r>
            <w:r>
              <w:rPr>
                <w:rFonts w:hint="eastAsia" w:ascii="仿宋" w:hAnsi="仿宋" w:eastAsia="仿宋" w:cs="仿宋"/>
                <w:b/>
                <w:bCs/>
                <w:kern w:val="0"/>
                <w:sz w:val="24"/>
                <w:highlight w:val="none"/>
              </w:rPr>
              <w:br w:type="textWrapping"/>
            </w:r>
            <w:r>
              <w:rPr>
                <w:rFonts w:hint="eastAsia" w:ascii="仿宋" w:hAnsi="仿宋" w:eastAsia="仿宋" w:cs="仿宋"/>
                <w:b/>
                <w:bCs/>
                <w:kern w:val="0"/>
                <w:sz w:val="24"/>
                <w:highlight w:val="none"/>
              </w:rPr>
              <w:t>毫居里</w:t>
            </w:r>
          </w:p>
        </w:tc>
        <w:tc>
          <w:tcPr>
            <w:tcW w:w="288"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345"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459"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586"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463"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398"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347"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398"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2011/2/23</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7.40E+07</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US11CS009745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D301（聚合物分离器）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2011/2/23</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7.40E+07</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US11CS009755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2011/5/26</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1.11E+09</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LT-3002</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US11CS009814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D301（聚合物分离器）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285"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4</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2011/6/23</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LT-3101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US11CS009785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F301（低压除气器）</w:t>
            </w:r>
          </w:p>
        </w:tc>
        <w:tc>
          <w:tcPr>
            <w:tcW w:w="34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5</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2011/2/23</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7.40E+07</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LSL-3102</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US11CS009765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6</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2011/9/30</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密度计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DT2401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US11CS009795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R201（一环反应器）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2011/9/30</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密度计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DT2501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US11CS009805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R202（二环反应器）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8</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1.85E+09</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50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LT-5001/ LAHH5002</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US11CS009824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D501（蒸发器）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9</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3.70E+10</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1000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LT-6001A</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US11CS009854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D601（高压吹出罐）</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3.70E+10</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1000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US11CS009864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11</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3.70E+09</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LT-6002A</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US11CS009834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D602（低压吹出罐）</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12</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3.70E+09</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US11CS009844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13</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2011/9/30</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1.85E+08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5</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LT-6003</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US11CS009775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D603（三级吹出罐）</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14</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US12CS002995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重整反应器R201还原段</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15</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LS-3002</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US12CS003005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16</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LT-3003</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US12CS003015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分离料斗V303分离区</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17</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LT-3003</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US12CS003025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18</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LS-3004</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US12CS003035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19</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LS-3005</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US12CS003045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分离料斗V303吸附段</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LT-3009</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US12CS003055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闭锁料斗V308缓冲段</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21</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LT-3009</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US12CS003065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22</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LT-3010</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US12CS003075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闭锁料斗V308闭锁段</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bl>
    <w:p>
      <w:pPr>
        <w:spacing w:line="360" w:lineRule="auto"/>
        <w:rPr>
          <w:rFonts w:hint="eastAsia" w:ascii="仿宋" w:hAnsi="仿宋" w:eastAsia="仿宋" w:cs="仿宋"/>
          <w:b/>
          <w:sz w:val="28"/>
          <w:szCs w:val="28"/>
          <w:highlight w:val="none"/>
        </w:rPr>
      </w:pP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5.2 放射源场所安全和防护</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5.2.1各部门、单位紧紧围绕“预防为主、防治结合、严格管理、安全第一”的方针，做好放射源的日常管理。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5.2.2放射源使用、暂存场所，应当按照国家有关规定设置明显的放射性标志。</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xml:space="preserve">5.2.3放射源装置的生产调试和使用场所，防止与工作无关人员进入现场受到意外照射，在放射源四周设置安全防护警戒区域，并设专人警戒。 </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5.2.4临时贮存放射源的库房，不得存放易燃、易爆、腐蚀性物品，具有防火、防盗、防丢失、防破坏、防射线泄漏的安全措施和明显的警示标识，并指定专人负责保管，健全登记、巡检和移交记录，做到账物相符。</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5.2.5 放射监测人员在进行放射监测和应急处理时，应当佩戴个人剂量计等防护器材，做好个人防护。</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5.2.6三修车间监测人员，应当每月1次对相关场所进行放射监测，并对监测数据的真实性、可靠性负责；加强对放射源安全和防护状况的日常检查。发现安全隐患的，应当立即整改；</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5.2.7三修车间技术管理人员，对放射源的安全和防护状况进行年度评估，经安全环保处审核，并于每年1月31日前向发证机关提交上一年度的评估报告。报告包括下列内容：</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a辐射安全和防护设施的运行与维护情况；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b辐射安全和防护制度及措施的制定与落实情况；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c辐射工作人员变动及接受辐射安全和防护知识教育培训；</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d放射源进出口、转让或者送贮情况以及维护台账；</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e场所辐射环境监测和个人剂量监测情况及监测数据；</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f辐射事故及应急响应情况；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g核技术利用项目新建、改建、扩建和退役情况；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h存在的安全隐患及其整改情况；年度评估发现安全隐患的，应当立即整改。</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L其他有关法律、法规规定的落实情况。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5.2.8放射源的退役，应当在实施退役前编制环境影响评价文件，报内蒙自治区环保厅审查批准；申请放射源终态验收，并提交放射源环境终态监测表。应当自终态验收合格之日起20内，到原发证机关办理辐射安全许可证变更或者注销手续，未经批准的，不得实施退役。</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6.人员安全和防护</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6.1 放射源操作人员以及防护负责人必须参加地方环保部门组织的辐射安全培训，并进行考核；考核不合格的，不得上岗。</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6.2 取得辐射安全培训合格证书的人员，应当每四年接受一次再培训。不参加再培训的人员或者再培训考核不合格的人员，其辐射安全培训合格证书自动失效。</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6.3安全环保管理部门按照国家有关规定，组织放射源接触人员进行个人剂量监测，发现个人剂量监测结果异常的，应当立即核实和调查，并将有关情况及时报告内蒙自治区环保厅辐射处。</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6.4 建立放射人员个人剂量档案。个人剂量档案应当包括个人基本信息、工作岗位、剂量监测结果等材料。个人剂量档案应当保存至辐射工作人员年满七十五周岁，或者停止辐射工作三十年。</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6.5 委托有个人剂量监测的机构，按照国家有关技术规范的要求进行个人剂量监测，具监测报告，并对监测结果负责。</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7 废旧放射源管理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7.1禁止擅自转移、贮存、退运废弃放射源。</w:t>
      </w:r>
    </w:p>
    <w:p>
      <w:pPr>
        <w:spacing w:line="360" w:lineRule="auto"/>
        <w:rPr>
          <w:rFonts w:hint="eastAsia" w:ascii="仿宋" w:hAnsi="仿宋" w:eastAsia="仿宋" w:cs="仿宋"/>
          <w:kern w:val="0"/>
          <w:sz w:val="28"/>
          <w:szCs w:val="28"/>
          <w:highlight w:val="none"/>
        </w:rPr>
      </w:pPr>
      <w:r>
        <w:rPr>
          <w:rFonts w:hint="eastAsia" w:ascii="仿宋" w:hAnsi="仿宋" w:eastAsia="仿宋" w:cs="仿宋"/>
          <w:sz w:val="28"/>
          <w:szCs w:val="28"/>
          <w:highlight w:val="none"/>
        </w:rPr>
        <w:t>7.2 废旧或报废的放射源必须按程序送交废旧放射源收贮单位贮存，从完成之日起20内，报内蒙古自治区环境保护厅辐射处备案。</w:t>
      </w:r>
    </w:p>
    <w:p>
      <w:pPr>
        <w:rPr>
          <w:rFonts w:hint="eastAsia" w:ascii="仿宋" w:hAnsi="仿宋" w:eastAsia="仿宋" w:cs="仿宋"/>
          <w:highlight w:val="none"/>
        </w:rPr>
      </w:pPr>
      <w:r>
        <w:rPr>
          <w:rFonts w:hint="eastAsia" w:ascii="仿宋" w:hAnsi="仿宋" w:eastAsia="仿宋" w:cs="仿宋"/>
          <w:highlight w:val="none"/>
        </w:rPr>
        <w:br w:type="page"/>
      </w:r>
    </w:p>
    <w:p>
      <w:pPr>
        <w:pStyle w:val="4"/>
        <w:bidi w:val="0"/>
        <w:rPr>
          <w:rFonts w:hint="eastAsia" w:ascii="仿宋" w:hAnsi="仿宋" w:eastAsia="仿宋" w:cs="仿宋"/>
          <w:b/>
          <w:kern w:val="44"/>
          <w:sz w:val="28"/>
          <w:szCs w:val="28"/>
          <w:highlight w:val="none"/>
          <w:lang w:val="en-US" w:eastAsia="zh-CN" w:bidi="ar-SA"/>
        </w:rPr>
      </w:pPr>
      <w:bookmarkStart w:id="422" w:name="_Toc26881"/>
      <w:r>
        <w:rPr>
          <w:rFonts w:hint="eastAsia" w:ascii="仿宋" w:hAnsi="仿宋" w:eastAsia="仿宋" w:cs="仿宋"/>
          <w:b/>
          <w:kern w:val="44"/>
          <w:sz w:val="28"/>
          <w:szCs w:val="28"/>
          <w:highlight w:val="none"/>
          <w:lang w:val="en-US" w:eastAsia="zh-CN" w:bidi="ar-SA"/>
        </w:rPr>
        <w:t>附件7 放射源防护和安全使用管理制度</w:t>
      </w:r>
      <w:bookmarkEnd w:id="422"/>
    </w:p>
    <w:p>
      <w:pPr>
        <w:rPr>
          <w:rFonts w:hint="eastAsia" w:ascii="仿宋" w:hAnsi="仿宋" w:eastAsia="仿宋" w:cs="仿宋"/>
          <w:sz w:val="28"/>
          <w:szCs w:val="28"/>
          <w:highlight w:val="none"/>
        </w:rPr>
      </w:pPr>
    </w:p>
    <w:p>
      <w:pPr>
        <w:spacing w:after="100" w:afterAutospacing="1" w:line="360" w:lineRule="auto"/>
        <w:jc w:val="center"/>
        <w:rPr>
          <w:rFonts w:hint="eastAsia" w:ascii="仿宋" w:hAnsi="仿宋" w:eastAsia="仿宋" w:cs="仿宋"/>
          <w:color w:val="000000"/>
          <w:sz w:val="32"/>
          <w:szCs w:val="32"/>
          <w:highlight w:val="none"/>
        </w:rPr>
      </w:pPr>
      <w:r>
        <w:rPr>
          <w:rFonts w:hint="eastAsia" w:ascii="仿宋" w:hAnsi="仿宋" w:eastAsia="仿宋" w:cs="仿宋"/>
          <w:b/>
          <w:bCs/>
          <w:color w:val="000000"/>
          <w:sz w:val="48"/>
          <w:szCs w:val="48"/>
          <w:highlight w:val="none"/>
        </w:rPr>
        <w:t>放射源防护和安全使用管理制度</w:t>
      </w:r>
    </w:p>
    <w:p>
      <w:pPr>
        <w:spacing w:after="100" w:afterAutospacing="1" w:line="360" w:lineRule="auto"/>
        <w:jc w:val="center"/>
        <w:rPr>
          <w:rFonts w:hint="eastAsia" w:ascii="仿宋" w:hAnsi="仿宋" w:eastAsia="仿宋" w:cs="仿宋"/>
          <w:color w:val="000000"/>
          <w:kern w:val="0"/>
          <w:sz w:val="32"/>
          <w:szCs w:val="32"/>
          <w:highlight w:val="none"/>
        </w:rPr>
      </w:pPr>
    </w:p>
    <w:p>
      <w:pPr>
        <w:spacing w:line="360" w:lineRule="auto"/>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    为确保我公司在用放射源的辐射环境安全，保证从事放射性工作岗位操作人员的人身安全和健康、利于生产工作正常进行，特制订本制度。</w:t>
      </w:r>
    </w:p>
    <w:p>
      <w:pPr>
        <w:spacing w:line="360" w:lineRule="auto"/>
        <w:rPr>
          <w:rFonts w:hint="eastAsia" w:ascii="仿宋" w:hAnsi="仿宋" w:eastAsia="仿宋" w:cs="仿宋"/>
          <w:b/>
          <w:color w:val="000000"/>
          <w:sz w:val="32"/>
          <w:szCs w:val="32"/>
          <w:highlight w:val="none"/>
        </w:rPr>
      </w:pPr>
      <w:r>
        <w:rPr>
          <w:rFonts w:hint="eastAsia" w:ascii="仿宋" w:hAnsi="仿宋" w:eastAsia="仿宋" w:cs="仿宋"/>
          <w:color w:val="000000"/>
          <w:sz w:val="32"/>
          <w:szCs w:val="32"/>
          <w:highlight w:val="none"/>
        </w:rPr>
        <w:t xml:space="preserve">    </w:t>
      </w:r>
      <w:r>
        <w:rPr>
          <w:rFonts w:hint="eastAsia" w:ascii="仿宋" w:hAnsi="仿宋" w:eastAsia="仿宋" w:cs="仿宋"/>
          <w:b/>
          <w:color w:val="000000"/>
          <w:sz w:val="32"/>
          <w:szCs w:val="32"/>
          <w:highlight w:val="none"/>
        </w:rPr>
        <w:t xml:space="preserve">一、日常管理制度 </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1、放射源的使用场所应有相应的辐射屏蔽，在放射源设备周围设置安全防护围栏，放射源申购、检查、验收、存放、保管、状况登记由专人负责。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2、存放和使用放射源场所应当设置警示标志，附近不得放置易燃、易爆、腐蚀性物品。</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3、放射源的包装容器上应当设置明显的放射性标志并配有中文警告说明文字。</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人员应严格遵守各项安全操作规程，经常检查防护设施的性能，确保正常运行，定期对工作场所进行辐射水平监测。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w:t>
      </w:r>
      <w:r>
        <w:rPr>
          <w:rFonts w:hint="eastAsia" w:ascii="仿宋" w:hAnsi="仿宋" w:eastAsia="仿宋" w:cs="仿宋"/>
          <w:color w:val="000000"/>
          <w:sz w:val="32"/>
          <w:szCs w:val="32"/>
          <w:highlight w:val="none"/>
          <w:lang w:eastAsia="zh-CN"/>
        </w:rPr>
        <w:t>和辐射管理人员</w:t>
      </w:r>
      <w:r>
        <w:rPr>
          <w:rFonts w:hint="eastAsia" w:ascii="仿宋" w:hAnsi="仿宋" w:eastAsia="仿宋" w:cs="仿宋"/>
          <w:color w:val="000000"/>
          <w:sz w:val="32"/>
          <w:szCs w:val="32"/>
          <w:highlight w:val="none"/>
        </w:rPr>
        <w:t>上岗必须经过专业培训，并经考试合格后持证上岗，积极学习辐射安全专业知识。</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人员上岗前必须进行健康检查，对</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人员定期进行健康检查，并建立个人职业健康档案。</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7、</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人员进入辐射区域时应佩戴个人剂量计，剂量计每3个月送相关部门进行检测，并建立个人剂量档案。</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8、警告工作人员不要朝放射源小孔内探视，若必须进行观察，</w:t>
      </w:r>
    </w:p>
    <w:p>
      <w:pPr>
        <w:spacing w:line="360" w:lineRule="auto"/>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则采用镜子进行反射探视。</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9、非工作人员不得在放射源附近停留，确因工作需要由辐射专管人员采取适当厚度铅板对逸散射线进行封闭后，方可进行工作，防止受到意外照射。</w:t>
      </w:r>
    </w:p>
    <w:p>
      <w:pPr>
        <w:spacing w:line="360" w:lineRule="auto"/>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二、安装维护制度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w:t>
      </w:r>
      <w:r>
        <w:rPr>
          <w:rFonts w:hint="eastAsia" w:ascii="仿宋" w:hAnsi="仿宋" w:eastAsia="仿宋" w:cs="仿宋"/>
          <w:color w:val="000000"/>
          <w:sz w:val="32"/>
          <w:szCs w:val="32"/>
          <w:highlight w:val="none"/>
          <w:lang w:val="en-US" w:eastAsia="zh-CN"/>
        </w:rPr>
        <w:t>如</w:t>
      </w:r>
      <w:r>
        <w:rPr>
          <w:rFonts w:hint="eastAsia" w:ascii="仿宋" w:hAnsi="仿宋" w:eastAsia="仿宋" w:cs="仿宋"/>
          <w:color w:val="000000"/>
          <w:sz w:val="32"/>
          <w:szCs w:val="32"/>
          <w:highlight w:val="none"/>
        </w:rPr>
        <w:t>对核技术应用设备进行维修及仪器拆装时，应由专业人员进行，必须有防护用品（铅服、铅眼镜、手套等）；严禁非专业人员私自拆装、移动或变动相关设施，对违反规定而造成设备和人身事故的责任人，进行严肃处理，并追究主管人员的责任。</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2、源窗口上方剂量偏大，操作中尽量使身体特别是眼睛避开该处。</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3、安装操作时配带防护眼镜，穿防护服，源窗口放置厚2～5mm塑料板和铅板遮挡；</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4、要求在使用过程中必须严格注意下列事项：</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  (1)严禁用尖锐锋利物碰划源箔表面；</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  (2)严禁拆开放射源；</w:t>
      </w:r>
    </w:p>
    <w:p>
      <w:pPr>
        <w:spacing w:line="360" w:lineRule="auto"/>
        <w:ind w:firstLine="960" w:firstLineChars="3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(3)严禁在腐蚀件气氛中储存和使用。</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5、禁止擅自修理放射源快门以及电磁控制阀的修理和更换或其它作业；禁止将手指等身体任何部位伸入定量传感器的测量间隙内。</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6、应急处理过程必须佩戴辐射剂量计，最好为具有报警功能的剂量计，无剂量计，禁止进行任何操作。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7、</w:t>
      </w:r>
      <w:r>
        <w:rPr>
          <w:rFonts w:hint="eastAsia" w:ascii="仿宋" w:hAnsi="仿宋" w:eastAsia="仿宋" w:cs="仿宋"/>
          <w:color w:val="000000"/>
          <w:sz w:val="32"/>
          <w:szCs w:val="32"/>
          <w:highlight w:val="none"/>
          <w:lang w:val="en-US" w:eastAsia="zh-CN"/>
        </w:rPr>
        <w:t>如</w:t>
      </w:r>
      <w:r>
        <w:rPr>
          <w:rFonts w:hint="eastAsia" w:ascii="仿宋" w:hAnsi="仿宋" w:eastAsia="仿宋" w:cs="仿宋"/>
          <w:color w:val="000000"/>
          <w:sz w:val="32"/>
          <w:szCs w:val="32"/>
          <w:highlight w:val="none"/>
        </w:rPr>
        <w:t>发生密封源丢失，应立即安排人员采取各种途径尽快寻找被丢失的密封源，并及时将事故情况上报环境保护主管部门、公安部门，并联系密封源生产厂家。</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8、技术人员处理被丢失的密封源时，应配备铅衣、铅手套、玻璃防护眼镜等防护措施和必要的剂量监测设备，并严格控制与被丢失的密封源近距离接触时间。将距被丢失的密封源至少5m的范围设为警戒区，设置明显的电离辐射标志，禁止公众入内。</w:t>
      </w:r>
    </w:p>
    <w:p>
      <w:pPr>
        <w:spacing w:line="360" w:lineRule="auto"/>
        <w:ind w:firstLine="54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通过以上措施，可以有效加强放射源的环境安全管理。</w:t>
      </w:r>
    </w:p>
    <w:p>
      <w:pPr>
        <w:rPr>
          <w:rFonts w:hint="eastAsia" w:ascii="仿宋" w:hAnsi="仿宋" w:eastAsia="仿宋" w:cs="仿宋"/>
          <w:color w:val="000000"/>
          <w:sz w:val="32"/>
          <w:szCs w:val="32"/>
          <w:highlight w:val="none"/>
        </w:rPr>
      </w:pPr>
    </w:p>
    <w:p>
      <w:pPr>
        <w:rPr>
          <w:rFonts w:hint="eastAsia" w:ascii="仿宋" w:hAnsi="仿宋" w:eastAsia="仿宋" w:cs="仿宋"/>
          <w:color w:val="000000"/>
          <w:sz w:val="32"/>
          <w:szCs w:val="32"/>
          <w:highlight w:val="none"/>
        </w:rPr>
      </w:pPr>
    </w:p>
    <w:p>
      <w:pPr>
        <w:rPr>
          <w:rFonts w:hint="eastAsia" w:ascii="仿宋" w:hAnsi="仿宋" w:eastAsia="仿宋" w:cs="仿宋"/>
          <w:color w:val="000000"/>
          <w:sz w:val="32"/>
          <w:szCs w:val="32"/>
          <w:highlight w:val="none"/>
        </w:rPr>
      </w:pPr>
    </w:p>
    <w:p>
      <w:pP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r>
        <w:rPr>
          <w:rFonts w:hint="eastAsia" w:ascii="仿宋" w:hAnsi="仿宋" w:eastAsia="仿宋" w:cs="仿宋"/>
          <w:color w:val="000000"/>
          <w:sz w:val="28"/>
          <w:highlight w:val="none"/>
        </w:rPr>
        <w:t xml:space="preserve">                          </w:t>
      </w:r>
    </w:p>
    <w:p>
      <w:pPr>
        <w:jc w:val="center"/>
        <w:rPr>
          <w:rFonts w:hint="eastAsia" w:ascii="仿宋" w:hAnsi="仿宋" w:eastAsia="仿宋" w:cs="仿宋"/>
          <w:color w:val="000000"/>
          <w:sz w:val="28"/>
          <w:highlight w:val="none"/>
        </w:rPr>
      </w:pPr>
    </w:p>
    <w:p>
      <w:pPr>
        <w:pStyle w:val="4"/>
        <w:bidi w:val="0"/>
        <w:rPr>
          <w:rFonts w:hint="eastAsia" w:ascii="仿宋" w:hAnsi="仿宋" w:eastAsia="仿宋" w:cs="仿宋"/>
          <w:b/>
          <w:kern w:val="44"/>
          <w:sz w:val="28"/>
          <w:szCs w:val="28"/>
          <w:highlight w:val="none"/>
          <w:lang w:val="en-US" w:eastAsia="zh-CN" w:bidi="ar-SA"/>
        </w:rPr>
      </w:pPr>
      <w:bookmarkStart w:id="423" w:name="_Toc3955"/>
      <w:r>
        <w:rPr>
          <w:rFonts w:hint="eastAsia" w:ascii="仿宋" w:hAnsi="仿宋" w:eastAsia="仿宋" w:cs="仿宋"/>
          <w:b/>
          <w:kern w:val="44"/>
          <w:sz w:val="28"/>
          <w:szCs w:val="28"/>
          <w:highlight w:val="none"/>
          <w:lang w:val="en-US" w:eastAsia="zh-CN" w:bidi="ar-SA"/>
        </w:rPr>
        <w:t>附件8 辐射岗位工作职责</w:t>
      </w:r>
      <w:bookmarkEnd w:id="423"/>
    </w:p>
    <w:p>
      <w:pPr>
        <w:spacing w:line="360" w:lineRule="auto"/>
        <w:ind w:left="0" w:leftChars="0" w:firstLine="0" w:firstLineChars="0"/>
        <w:jc w:val="center"/>
        <w:rPr>
          <w:rFonts w:hint="eastAsia" w:ascii="仿宋" w:hAnsi="仿宋" w:eastAsia="仿宋" w:cs="仿宋"/>
          <w:color w:val="000000"/>
          <w:sz w:val="52"/>
          <w:szCs w:val="52"/>
          <w:highlight w:val="none"/>
        </w:rPr>
      </w:pPr>
      <w:r>
        <w:rPr>
          <w:rFonts w:hint="eastAsia" w:ascii="仿宋" w:hAnsi="仿宋" w:eastAsia="仿宋" w:cs="仿宋"/>
          <w:b/>
          <w:bCs/>
          <w:color w:val="000000"/>
          <w:sz w:val="52"/>
          <w:szCs w:val="52"/>
          <w:highlight w:val="none"/>
        </w:rPr>
        <w:t>辐射岗位工作职责</w:t>
      </w:r>
    </w:p>
    <w:p>
      <w:pPr>
        <w:spacing w:line="360" w:lineRule="auto"/>
        <w:ind w:firstLine="640" w:firstLineChars="200"/>
        <w:rPr>
          <w:rFonts w:hint="eastAsia" w:ascii="仿宋" w:hAnsi="仿宋" w:eastAsia="仿宋" w:cs="仿宋"/>
          <w:color w:val="000000"/>
          <w:sz w:val="32"/>
          <w:szCs w:val="32"/>
          <w:highlight w:val="none"/>
        </w:rPr>
      </w:pP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一、岗位要求：</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必须经过辐射专业知识培训，经考试合格后持证上岗。</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二、岗位职责：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1、负责在用核料位仪、的日常监控和安全运行工作。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2、负责对放射源工作场所的辐射监管工作，杜绝非工作人员私自进入工作场所。</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3、负责及时提醒和监督工作人员进入工作场所时，佩戴个人防护用品等。</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4、定期按要求进行检查，确认放射源完好无损、防止因放射源的丢失、防护设施损坏等问题造成的严重后果。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5、负责放射源的日常安全管理工作，防止非专业检修人员擅自拆除、移动或变动相关防护设施，若因工作需要，必须经公司</w:t>
      </w:r>
      <w:r>
        <w:rPr>
          <w:rFonts w:hint="eastAsia" w:ascii="仿宋" w:hAnsi="仿宋" w:eastAsia="仿宋" w:cs="仿宋"/>
          <w:color w:val="000000"/>
          <w:sz w:val="32"/>
          <w:szCs w:val="32"/>
          <w:highlight w:val="none"/>
          <w:lang w:val="en-US" w:eastAsia="zh-CN"/>
        </w:rPr>
        <w:t>主管部门</w:t>
      </w:r>
      <w:r>
        <w:rPr>
          <w:rFonts w:hint="eastAsia" w:ascii="仿宋" w:hAnsi="仿宋" w:eastAsia="仿宋" w:cs="仿宋"/>
          <w:color w:val="000000"/>
          <w:sz w:val="32"/>
          <w:szCs w:val="32"/>
          <w:highlight w:val="none"/>
        </w:rPr>
        <w:t>批准，并向环保部门提出申请，经批准后，在专业人员的指导下方可进行操作。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6、配合监测部门定期对放射源周围辐射环境进行监测，并按照相关要求完善辐射防护措施。</w:t>
      </w:r>
    </w:p>
    <w:p>
      <w:pPr>
        <w:spacing w:line="360" w:lineRule="auto"/>
        <w:ind w:firstLine="640" w:firstLineChars="200"/>
        <w:rPr>
          <w:rFonts w:hint="eastAsia" w:ascii="仿宋" w:hAnsi="仿宋" w:eastAsia="仿宋" w:cs="仿宋"/>
          <w:color w:val="000000"/>
          <w:sz w:val="32"/>
          <w:szCs w:val="32"/>
          <w:highlight w:val="none"/>
        </w:rPr>
      </w:pPr>
    </w:p>
    <w:p>
      <w:pPr>
        <w:spacing w:line="360" w:lineRule="auto"/>
        <w:ind w:firstLine="640" w:firstLineChars="200"/>
        <w:rPr>
          <w:rFonts w:hint="eastAsia" w:ascii="仿宋" w:hAnsi="仿宋" w:eastAsia="仿宋" w:cs="仿宋"/>
          <w:color w:val="000000"/>
          <w:sz w:val="32"/>
          <w:szCs w:val="32"/>
          <w:highlight w:val="none"/>
        </w:rPr>
      </w:pPr>
    </w:p>
    <w:p>
      <w:pPr>
        <w:pStyle w:val="4"/>
        <w:bidi w:val="0"/>
        <w:rPr>
          <w:rFonts w:hint="eastAsia" w:ascii="仿宋" w:hAnsi="仿宋" w:eastAsia="仿宋" w:cs="仿宋"/>
          <w:b/>
          <w:kern w:val="44"/>
          <w:sz w:val="28"/>
          <w:szCs w:val="28"/>
          <w:highlight w:val="none"/>
          <w:lang w:val="en-US" w:eastAsia="zh-CN" w:bidi="ar-SA"/>
        </w:rPr>
      </w:pPr>
      <w:bookmarkStart w:id="424" w:name="_Toc9496"/>
      <w:r>
        <w:rPr>
          <w:rFonts w:hint="eastAsia" w:ascii="仿宋" w:hAnsi="仿宋" w:eastAsia="仿宋" w:cs="仿宋"/>
          <w:b/>
          <w:kern w:val="44"/>
          <w:sz w:val="28"/>
          <w:szCs w:val="28"/>
          <w:highlight w:val="none"/>
          <w:lang w:val="en-US" w:eastAsia="zh-CN" w:bidi="ar-SA"/>
        </w:rPr>
        <w:t>附件9 放射源安全操作规程</w:t>
      </w:r>
      <w:bookmarkEnd w:id="424"/>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放射源安全操作规程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为确保设备的正常运行和人身不受伤害，特制定本规程。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一、操作人员制度</w:t>
      </w:r>
      <w:r>
        <w:rPr>
          <w:rFonts w:hint="eastAsia" w:ascii="仿宋" w:hAnsi="仿宋" w:eastAsia="仿宋" w:cs="仿宋"/>
          <w:color w:val="000000"/>
          <w:sz w:val="32"/>
          <w:szCs w:val="32"/>
          <w:highlight w:val="none"/>
        </w:rPr>
        <w:tab/>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工作人员必须经过严格的辐射安全知识培训，并已经取得考试资格鉴定，获取合格证方可上岗。同时规定进行在岗人员职业检查，建立职业健康监护档案，长期保存；进行个人剂量监测，建立个人剂量档案，长期保存。如辐射工作人员剂量监测结果异常的，应当立即核实和调查，并将有关情况及时报告辐射安全许可证发证机关，并作适当的岗位调整等安排。</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二、工作场所安全操作要求</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设备源容器安装要牢固、可靠；设置防盗报警装置，防止放射源被盗和丢失。并在密封源安装位置处设“电离辐射”警示标识和安全管理责任牌。 同时，应在人员通道一侧采取防护板（铁、铅均可）等措施限制人员进入源容器与受检物之间的有用线束区域，并防止散射线对人员危害。</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三、放射源维修安全操作要求</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含密封源的检修、更换放射源、停用等状态时，需由厂家专职维护人员进行维护、维修和拆卸，并设置辐射安全防护距离的隔离带。检修、更换结束后要按照有关要求对工作场所和放射源容器表面剂量进行监测。停用后，应使用X-γ剂量率仪对周围γ剂量率进行监测。</w:t>
      </w:r>
    </w:p>
    <w:p>
      <w:pPr>
        <w:spacing w:line="360" w:lineRule="auto"/>
        <w:ind w:firstLine="640" w:firstLineChars="200"/>
        <w:rPr>
          <w:rFonts w:hint="eastAsia" w:ascii="仿宋" w:hAnsi="仿宋" w:eastAsia="仿宋" w:cs="仿宋"/>
          <w:color w:val="000000"/>
          <w:kern w:val="0"/>
          <w:sz w:val="32"/>
          <w:szCs w:val="32"/>
          <w:highlight w:val="none"/>
        </w:rPr>
      </w:pPr>
      <w:r>
        <w:rPr>
          <w:rFonts w:hint="eastAsia" w:ascii="仿宋" w:hAnsi="仿宋" w:eastAsia="仿宋" w:cs="仿宋"/>
          <w:color w:val="000000"/>
          <w:sz w:val="32"/>
          <w:szCs w:val="32"/>
          <w:highlight w:val="none"/>
        </w:rPr>
        <w:t>放射源源容器源闸应在“开”、“关”状态分别锁定位置，并有明显的“开”、“关”状态指示。在安装含密封放射源和试生产前，要保证源容器源闸应在“关”状态并处于锁定状态。</w:t>
      </w:r>
    </w:p>
    <w:p>
      <w:pPr>
        <w:widowControl/>
        <w:spacing w:line="500" w:lineRule="atLeast"/>
        <w:ind w:firstLine="480"/>
        <w:rPr>
          <w:rFonts w:hint="eastAsia" w:ascii="仿宋" w:hAnsi="仿宋" w:eastAsia="仿宋" w:cs="仿宋"/>
          <w:color w:val="000000"/>
          <w:kern w:val="0"/>
          <w:sz w:val="32"/>
          <w:szCs w:val="32"/>
          <w:highlight w:val="none"/>
        </w:rPr>
      </w:pPr>
      <w:r>
        <w:rPr>
          <w:rFonts w:hint="eastAsia" w:ascii="仿宋" w:hAnsi="仿宋" w:eastAsia="仿宋" w:cs="仿宋"/>
          <w:color w:val="000000"/>
          <w:kern w:val="0"/>
          <w:sz w:val="32"/>
          <w:szCs w:val="32"/>
          <w:highlight w:val="none"/>
        </w:rPr>
        <w:t xml:space="preserve">                            </w:t>
      </w:r>
    </w:p>
    <w:p>
      <w:pPr>
        <w:widowControl/>
        <w:spacing w:line="500" w:lineRule="atLeast"/>
        <w:ind w:firstLine="6080" w:firstLineChars="1900"/>
        <w:rPr>
          <w:rFonts w:hint="eastAsia" w:ascii="仿宋" w:hAnsi="仿宋" w:eastAsia="仿宋" w:cs="仿宋"/>
          <w:color w:val="000000"/>
          <w:kern w:val="0"/>
          <w:sz w:val="32"/>
          <w:szCs w:val="32"/>
          <w:highlight w:val="none"/>
        </w:rPr>
      </w:pPr>
    </w:p>
    <w:p>
      <w:pPr>
        <w:rPr>
          <w:rFonts w:hint="eastAsia" w:ascii="仿宋" w:hAnsi="仿宋" w:eastAsia="仿宋" w:cs="仿宋"/>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pStyle w:val="4"/>
        <w:bidi w:val="0"/>
        <w:rPr>
          <w:rFonts w:hint="eastAsia" w:ascii="仿宋" w:hAnsi="仿宋" w:eastAsia="仿宋" w:cs="仿宋"/>
          <w:b/>
          <w:kern w:val="44"/>
          <w:sz w:val="28"/>
          <w:szCs w:val="28"/>
          <w:highlight w:val="none"/>
          <w:lang w:val="en-US" w:eastAsia="zh-CN" w:bidi="ar-SA"/>
        </w:rPr>
      </w:pPr>
      <w:bookmarkStart w:id="425" w:name="_Toc9259"/>
      <w:r>
        <w:rPr>
          <w:rFonts w:hint="eastAsia" w:ascii="仿宋" w:hAnsi="仿宋" w:eastAsia="仿宋" w:cs="仿宋"/>
          <w:b/>
          <w:kern w:val="44"/>
          <w:sz w:val="28"/>
          <w:szCs w:val="28"/>
          <w:highlight w:val="none"/>
          <w:lang w:val="en-US" w:eastAsia="zh-CN" w:bidi="ar-SA"/>
        </w:rPr>
        <w:t>附件10 放射源检修维护制度</w:t>
      </w:r>
      <w:bookmarkEnd w:id="425"/>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放射源检修维护制度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为了更好的利用放射源在生产中的作用，保证其在生产过程中的稳定正常运行，特制订此检修维护制度：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1、放射源由专人进行检修和维护，在日常中做到对放射源勤检查，在维护、维修和拆卸时，设置辐射安全防护距离的隔离带，并按要求对工作场所和放射源容器表面剂量进行监测</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设备停用后,应使用X-γ剂量率仪对周围γ剂量率进行监测。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2、放射源容器源闸应在“开”</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“关”状态分别锁定位置，并有明显的“开”</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“关”状态指示。维修时要保证源容器闸应在“关”状态并处于锁定状态。</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3、对于不能解决的问题和事故，要及时与厂家供应商联系，以便于及时处理。</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4、日常生产中保证放射源及周边环境良好，保证环境通风、阴凉和干燥，保证其在正常的环境中工作。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5、放射源发生事故时，由专门人员进行处理，并做到一人操作，并有不少于一人进行监护。</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6、处理事故时，首先要关闭放射源，并按要求进行作业。</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7、事故处理完毕后，要做出总结，填写好相应的事故处理报告，并做出正确的分析。</w:t>
      </w:r>
    </w:p>
    <w:p>
      <w:pPr>
        <w:adjustRightInd w:val="0"/>
        <w:ind w:firstLine="4530" w:firstLineChars="1618"/>
        <w:rPr>
          <w:rFonts w:hint="eastAsia" w:ascii="仿宋" w:hAnsi="仿宋" w:eastAsia="仿宋" w:cs="仿宋"/>
          <w:bCs/>
          <w:sz w:val="28"/>
          <w:szCs w:val="28"/>
          <w:highlight w:val="none"/>
        </w:rPr>
      </w:pPr>
      <w:r>
        <w:rPr>
          <w:rFonts w:hint="eastAsia" w:ascii="仿宋" w:hAnsi="仿宋" w:eastAsia="仿宋" w:cs="仿宋"/>
          <w:bCs/>
          <w:sz w:val="28"/>
          <w:szCs w:val="28"/>
          <w:highlight w:val="none"/>
        </w:rPr>
        <w:t xml:space="preserve"> </w:t>
      </w:r>
    </w:p>
    <w:p>
      <w:pPr>
        <w:pStyle w:val="4"/>
        <w:bidi w:val="0"/>
        <w:rPr>
          <w:rFonts w:hint="eastAsia" w:ascii="仿宋" w:hAnsi="仿宋" w:eastAsia="仿宋" w:cs="仿宋"/>
          <w:b/>
          <w:kern w:val="44"/>
          <w:sz w:val="28"/>
          <w:szCs w:val="28"/>
          <w:highlight w:val="none"/>
          <w:lang w:val="en-US" w:eastAsia="zh-CN" w:bidi="ar-SA"/>
        </w:rPr>
      </w:pPr>
      <w:bookmarkStart w:id="426" w:name="_Toc5661"/>
      <w:r>
        <w:rPr>
          <w:rFonts w:hint="eastAsia" w:ascii="仿宋" w:hAnsi="仿宋" w:eastAsia="仿宋" w:cs="仿宋"/>
          <w:b/>
          <w:kern w:val="44"/>
          <w:sz w:val="28"/>
          <w:szCs w:val="28"/>
          <w:highlight w:val="none"/>
          <w:lang w:val="en-US" w:eastAsia="zh-CN" w:bidi="ar-SA"/>
        </w:rPr>
        <w:t>附件11 辐射工作人员岗位职责</w:t>
      </w:r>
      <w:bookmarkEnd w:id="426"/>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辐射工作人员岗位职责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为了保证放射源的安全，保护放射源周围环境不被辐射污染，保护公司职工的安全，特制定本岗位职责。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管理人员职责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公司马志远</w:t>
      </w:r>
      <w:r>
        <w:rPr>
          <w:rFonts w:hint="eastAsia" w:ascii="仿宋" w:hAnsi="仿宋" w:eastAsia="仿宋" w:cs="仿宋"/>
          <w:color w:val="000000"/>
          <w:sz w:val="32"/>
          <w:szCs w:val="32"/>
          <w:highlight w:val="none"/>
          <w:lang w:eastAsia="zh-CN"/>
        </w:rPr>
        <w:t>、李正芳</w:t>
      </w:r>
      <w:r>
        <w:rPr>
          <w:rFonts w:hint="eastAsia" w:ascii="仿宋" w:hAnsi="仿宋" w:eastAsia="仿宋" w:cs="仿宋"/>
          <w:color w:val="000000"/>
          <w:sz w:val="32"/>
          <w:szCs w:val="32"/>
          <w:highlight w:val="none"/>
        </w:rPr>
        <w:t>全面负责公司辐射环境管理工作；执行国家有关核仪器安全使用规定，制定公司内部相关监督管理制度。负责公司防护安全管理工作，建立健全安全防护措施，保证在使用放射源等环节做到安全、可靠、并检查各项工作的实施情况。定期组织安全和产和专业技能学习。</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监督部门</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监督安全员负责检查操作人员防护措施实施情况（如在工作场地是否穿防护服等）。负责安全文明生产的考核、监督工作，发现问题及时纠正正解决。负责定期组织相关人员进行健康检查，并建立剂量健康档案。制定并做好辐射工作场所的监测工作，编制安全评估报告。抓好公司</w:t>
      </w:r>
      <w:r>
        <w:rPr>
          <w:rFonts w:hint="eastAsia" w:ascii="仿宋" w:hAnsi="仿宋" w:eastAsia="仿宋" w:cs="仿宋"/>
          <w:color w:val="000000"/>
          <w:sz w:val="32"/>
          <w:szCs w:val="32"/>
          <w:highlight w:val="none"/>
          <w:lang w:eastAsia="zh-CN"/>
        </w:rPr>
        <w:t>辐射</w:t>
      </w:r>
      <w:r>
        <w:rPr>
          <w:rFonts w:hint="eastAsia" w:ascii="仿宋" w:hAnsi="仿宋" w:eastAsia="仿宋" w:cs="仿宋"/>
          <w:color w:val="000000"/>
          <w:sz w:val="32"/>
          <w:szCs w:val="32"/>
          <w:highlight w:val="none"/>
        </w:rPr>
        <w:t>防护安全管理工作。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工作人员职责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1、工作人员必须严格遵守并执行《中华人民共和国放射性污染防治法》和《放射性同位素与射线装置安全和防护条例》。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2、工作人员必须经过放射性基础知识、放射性同位素源操作培训，经考试合格，</w:t>
      </w:r>
      <w:r>
        <w:rPr>
          <w:rFonts w:hint="eastAsia" w:ascii="仿宋" w:hAnsi="仿宋" w:eastAsia="仿宋" w:cs="仿宋"/>
          <w:color w:val="000000"/>
          <w:sz w:val="32"/>
          <w:szCs w:val="32"/>
          <w:highlight w:val="none"/>
          <w:lang w:val="en-US" w:eastAsia="zh-CN"/>
        </w:rPr>
        <w:t>取得《核技术利用辐射与安全防护考核合格证书》</w:t>
      </w:r>
      <w:r>
        <w:rPr>
          <w:rFonts w:hint="eastAsia" w:ascii="仿宋" w:hAnsi="仿宋" w:eastAsia="仿宋" w:cs="仿宋"/>
          <w:color w:val="000000"/>
          <w:sz w:val="32"/>
          <w:szCs w:val="32"/>
          <w:highlight w:val="none"/>
        </w:rPr>
        <w:t>方可上岗。</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3、新上岗或转岗人员必须经过健康体检合格，并取得</w:t>
      </w:r>
      <w:r>
        <w:rPr>
          <w:rFonts w:hint="eastAsia" w:ascii="仿宋" w:hAnsi="仿宋" w:eastAsia="仿宋" w:cs="仿宋"/>
          <w:color w:val="000000"/>
          <w:sz w:val="32"/>
          <w:szCs w:val="32"/>
          <w:highlight w:val="none"/>
          <w:lang w:val="en-US" w:eastAsia="zh-CN"/>
        </w:rPr>
        <w:t>《核技术利用辐射与安全防护考核合格证书》</w:t>
      </w:r>
      <w:r>
        <w:rPr>
          <w:rFonts w:hint="eastAsia" w:ascii="仿宋" w:hAnsi="仿宋" w:eastAsia="仿宋" w:cs="仿宋"/>
          <w:color w:val="000000"/>
          <w:sz w:val="32"/>
          <w:szCs w:val="32"/>
          <w:highlight w:val="none"/>
        </w:rPr>
        <w:t>方可上岗。严禁未培训人员在放射源岗位工作。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4、上岗必须佩带个人剂量报警仪和热释光个人剂量仪。</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5、建立放射源管理台账。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6、放射源安装现场周围设立明显的电离辐射标志牌。</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7、放射源周围设立明显的电离辐射标志牌，并</w:t>
      </w:r>
      <w:r>
        <w:rPr>
          <w:rFonts w:hint="eastAsia" w:ascii="仿宋" w:hAnsi="仿宋" w:eastAsia="仿宋" w:cs="仿宋"/>
          <w:color w:val="000000"/>
          <w:sz w:val="32"/>
          <w:szCs w:val="32"/>
          <w:highlight w:val="none"/>
          <w:lang w:val="en-US" w:eastAsia="zh-CN"/>
        </w:rPr>
        <w:t>设立安全警示区域</w:t>
      </w:r>
      <w:r>
        <w:rPr>
          <w:rFonts w:hint="eastAsia" w:ascii="仿宋" w:hAnsi="仿宋" w:eastAsia="仿宋" w:cs="仿宋"/>
          <w:color w:val="000000"/>
          <w:sz w:val="32"/>
          <w:szCs w:val="32"/>
          <w:highlight w:val="none"/>
        </w:rPr>
        <w:t>，严禁非操作人员靠近安全线。</w:t>
      </w:r>
    </w:p>
    <w:p>
      <w:pPr>
        <w:spacing w:line="360" w:lineRule="auto"/>
        <w:ind w:firstLine="640" w:firstLineChars="200"/>
        <w:rPr>
          <w:rFonts w:hint="eastAsia" w:ascii="仿宋" w:hAnsi="仿宋" w:eastAsia="仿宋" w:cs="仿宋"/>
          <w:sz w:val="32"/>
          <w:szCs w:val="32"/>
          <w:highlight w:val="none"/>
        </w:rPr>
      </w:pPr>
      <w:r>
        <w:rPr>
          <w:rFonts w:hint="eastAsia" w:ascii="仿宋" w:hAnsi="仿宋" w:eastAsia="仿宋" w:cs="仿宋"/>
          <w:color w:val="000000"/>
          <w:sz w:val="32"/>
          <w:szCs w:val="32"/>
          <w:highlight w:val="none"/>
        </w:rPr>
        <w:t>8、时常保持放射源岗位环境整洁干净。</w:t>
      </w:r>
    </w:p>
    <w:p>
      <w:pPr>
        <w:spacing w:line="360" w:lineRule="auto"/>
        <w:ind w:left="420" w:leftChars="200" w:firstLine="4160" w:firstLineChars="1300"/>
        <w:rPr>
          <w:rFonts w:hint="eastAsia" w:ascii="仿宋" w:hAnsi="仿宋" w:eastAsia="仿宋" w:cs="仿宋"/>
          <w:sz w:val="32"/>
          <w:szCs w:val="32"/>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pStyle w:val="4"/>
        <w:bidi w:val="0"/>
        <w:rPr>
          <w:rFonts w:hint="eastAsia" w:ascii="仿宋" w:hAnsi="仿宋" w:eastAsia="仿宋" w:cs="仿宋"/>
          <w:b/>
          <w:kern w:val="44"/>
          <w:sz w:val="28"/>
          <w:szCs w:val="28"/>
          <w:highlight w:val="none"/>
          <w:lang w:val="en-US" w:eastAsia="zh-CN" w:bidi="ar-SA"/>
        </w:rPr>
      </w:pPr>
      <w:bookmarkStart w:id="427" w:name="_Toc9529"/>
      <w:r>
        <w:rPr>
          <w:rFonts w:hint="eastAsia" w:ascii="仿宋" w:hAnsi="仿宋" w:eastAsia="仿宋" w:cs="仿宋"/>
          <w:b/>
          <w:kern w:val="44"/>
          <w:sz w:val="28"/>
          <w:szCs w:val="28"/>
          <w:highlight w:val="none"/>
          <w:lang w:val="en-US" w:eastAsia="zh-CN" w:bidi="ar-SA"/>
        </w:rPr>
        <w:t>附件12 放射防护和安全保卫制度</w:t>
      </w:r>
      <w:bookmarkEnd w:id="427"/>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放射防护和安全保卫制度</w:t>
      </w:r>
    </w:p>
    <w:p>
      <w:pPr>
        <w:ind w:firstLine="560" w:firstLineChars="200"/>
        <w:jc w:val="center"/>
        <w:rPr>
          <w:rFonts w:hint="eastAsia" w:ascii="仿宋" w:hAnsi="仿宋" w:eastAsia="仿宋" w:cs="仿宋"/>
          <w:sz w:val="28"/>
          <w:szCs w:val="28"/>
          <w:highlight w:val="none"/>
        </w:rPr>
      </w:pP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依据《国家放射性同位素射线装置放射防护条例》有关要求，结合本公司生产的的实际情况，采取相关防护措施，具体措施如下：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一、防护领导小组</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1、为了加强射线防护安全等管理工作，专门成立了放射防护领导小组。</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其成员如下：组  长：蒋雨        </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副组长：</w:t>
      </w:r>
      <w:r>
        <w:rPr>
          <w:rFonts w:hint="eastAsia" w:ascii="仿宋" w:hAnsi="仿宋" w:eastAsia="仿宋" w:cs="仿宋"/>
          <w:color w:val="000000"/>
          <w:sz w:val="32"/>
          <w:szCs w:val="32"/>
          <w:highlight w:val="none"/>
          <w:lang w:eastAsia="zh-CN"/>
        </w:rPr>
        <w:t>杨泰旭</w:t>
      </w:r>
      <w:r>
        <w:rPr>
          <w:rFonts w:hint="eastAsia" w:ascii="仿宋" w:hAnsi="仿宋" w:eastAsia="仿宋" w:cs="仿宋"/>
          <w:color w:val="000000"/>
          <w:sz w:val="32"/>
          <w:szCs w:val="32"/>
          <w:highlight w:val="none"/>
          <w:lang w:val="en-US" w:eastAsia="zh-CN"/>
        </w:rPr>
        <w:t xml:space="preserve">  </w:t>
      </w:r>
      <w:r>
        <w:rPr>
          <w:rFonts w:hint="eastAsia" w:ascii="仿宋" w:hAnsi="仿宋" w:eastAsia="仿宋" w:cs="仿宋"/>
          <w:color w:val="000000"/>
          <w:sz w:val="32"/>
          <w:szCs w:val="32"/>
          <w:highlight w:val="none"/>
        </w:rPr>
        <w:t>董英武</w:t>
      </w:r>
      <w:r>
        <w:rPr>
          <w:rFonts w:hint="eastAsia" w:ascii="仿宋" w:hAnsi="仿宋" w:eastAsia="仿宋" w:cs="仿宋"/>
          <w:color w:val="000000"/>
          <w:sz w:val="32"/>
          <w:szCs w:val="32"/>
          <w:highlight w:val="none"/>
          <w:lang w:val="en-US" w:eastAsia="zh-CN"/>
        </w:rPr>
        <w:t xml:space="preserve">  </w:t>
      </w:r>
      <w:r>
        <w:rPr>
          <w:rFonts w:hint="eastAsia" w:ascii="仿宋" w:hAnsi="仿宋" w:eastAsia="仿宋" w:cs="仿宋"/>
          <w:color w:val="000000"/>
          <w:sz w:val="32"/>
          <w:szCs w:val="32"/>
          <w:highlight w:val="none"/>
        </w:rPr>
        <w:t xml:space="preserve">   </w:t>
      </w:r>
    </w:p>
    <w:p>
      <w:pPr>
        <w:spacing w:line="360" w:lineRule="auto"/>
        <w:ind w:left="638" w:leftChars="304" w:firstLine="0" w:firstLineChars="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成  员：</w:t>
      </w:r>
      <w:r>
        <w:rPr>
          <w:rFonts w:hint="eastAsia" w:ascii="仿宋" w:hAnsi="仿宋" w:eastAsia="仿宋" w:cs="仿宋"/>
          <w:color w:val="000000"/>
          <w:sz w:val="32"/>
          <w:szCs w:val="32"/>
          <w:highlight w:val="none"/>
          <w:lang w:val="en-US" w:eastAsia="zh-CN"/>
        </w:rPr>
        <w:t xml:space="preserve">王杰  由立栓 李德毅  张文奇  </w:t>
      </w:r>
      <w:r>
        <w:rPr>
          <w:rFonts w:hint="eastAsia" w:ascii="仿宋" w:hAnsi="仿宋" w:eastAsia="仿宋" w:cs="仿宋"/>
          <w:color w:val="000000"/>
          <w:sz w:val="32"/>
          <w:szCs w:val="32"/>
          <w:highlight w:val="none"/>
        </w:rPr>
        <w:t>马志远</w:t>
      </w:r>
      <w:r>
        <w:rPr>
          <w:rFonts w:hint="eastAsia" w:ascii="仿宋" w:hAnsi="仿宋" w:eastAsia="仿宋" w:cs="仿宋"/>
          <w:color w:val="000000"/>
          <w:sz w:val="32"/>
          <w:szCs w:val="32"/>
          <w:highlight w:val="none"/>
          <w:lang w:val="en-US" w:eastAsia="zh-CN"/>
        </w:rPr>
        <w:t xml:space="preserve">  林梦源  高玉雷  </w:t>
      </w:r>
      <w:r>
        <w:rPr>
          <w:rFonts w:hint="eastAsia" w:ascii="仿宋" w:hAnsi="仿宋" w:eastAsia="仿宋" w:cs="仿宋"/>
          <w:color w:val="000000"/>
          <w:sz w:val="32"/>
          <w:szCs w:val="32"/>
          <w:highlight w:val="none"/>
          <w:lang w:eastAsia="zh-CN"/>
        </w:rPr>
        <w:t>李正芳</w:t>
      </w:r>
      <w:r>
        <w:rPr>
          <w:rFonts w:hint="eastAsia" w:ascii="仿宋" w:hAnsi="仿宋" w:eastAsia="仿宋" w:cs="仿宋"/>
          <w:color w:val="000000"/>
          <w:sz w:val="32"/>
          <w:szCs w:val="32"/>
          <w:highlight w:val="none"/>
        </w:rPr>
        <w:t xml:space="preserve"> </w:t>
      </w:r>
      <w:r>
        <w:rPr>
          <w:rFonts w:hint="eastAsia" w:ascii="仿宋" w:hAnsi="仿宋" w:eastAsia="仿宋" w:cs="仿宋"/>
          <w:color w:val="000000"/>
          <w:sz w:val="32"/>
          <w:szCs w:val="32"/>
          <w:highlight w:val="none"/>
          <w:lang w:val="en-US" w:eastAsia="zh-CN"/>
        </w:rPr>
        <w:t xml:space="preserve"> 王佳录 </w:t>
      </w:r>
      <w:r>
        <w:rPr>
          <w:rFonts w:hint="eastAsia" w:ascii="仿宋" w:hAnsi="仿宋" w:eastAsia="仿宋" w:cs="仿宋"/>
          <w:color w:val="000000"/>
          <w:sz w:val="32"/>
          <w:szCs w:val="32"/>
          <w:highlight w:val="none"/>
        </w:rPr>
        <w:t xml:space="preserve"> </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二、上岗培训</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放射工作人员进行辐射防护知识学习和技能的训练，严格按照有关规定进行培训，现已有3人获取</w:t>
      </w:r>
      <w:r>
        <w:rPr>
          <w:rFonts w:hint="eastAsia" w:ascii="仿宋" w:hAnsi="仿宋" w:eastAsia="仿宋" w:cs="仿宋"/>
          <w:color w:val="000000"/>
          <w:sz w:val="32"/>
          <w:szCs w:val="32"/>
          <w:highlight w:val="none"/>
          <w:lang w:val="en-US" w:eastAsia="zh-CN"/>
        </w:rPr>
        <w:t>《核技术利用辐射与安全防护考核合格证书》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三、防护用品</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辐射工作人员每人配备1个热释光个人剂量计，并购置1台X-γ个人剂量报警仪和1台辐射巡检仪，并配备1防护手套和防护服，满足安全防护措施的要求。</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四、屏蔽设备</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放射源装在密封铅罐内，其周围采取防护板（铁或铅均可）措施等限制人员进入源容器与受检物之间的有用线束区域，防止散射线对人员危害。                 </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五、记录</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在设备运行期间，监测内容是环境γ贯穿辐射剂量率的监测，严格按照《职业性外照个人监测规范》（GBZ128-2002）的要求进行个人剂量监测，并做好记录，档案和报告。</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六、安保及巡检</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公司已建立辐射安全管理机构，由法人代表担任组长。设1名具有大专以上学历的技术人员兼职负责辐射安全与环境保护管理工作，设多名安全辐射防护巡检人员。</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七、废旧放射源处理</w:t>
      </w:r>
    </w:p>
    <w:p>
      <w:pPr>
        <w:spacing w:line="360" w:lineRule="auto"/>
        <w:ind w:firstLine="640" w:firstLineChars="200"/>
        <w:rPr>
          <w:rFonts w:hint="eastAsia" w:ascii="仿宋" w:hAnsi="仿宋" w:eastAsia="仿宋" w:cs="仿宋"/>
          <w:sz w:val="32"/>
          <w:szCs w:val="32"/>
          <w:highlight w:val="none"/>
        </w:rPr>
      </w:pPr>
      <w:r>
        <w:rPr>
          <w:rFonts w:hint="eastAsia" w:ascii="仿宋" w:hAnsi="仿宋" w:eastAsia="仿宋" w:cs="仿宋"/>
          <w:color w:val="000000"/>
          <w:sz w:val="32"/>
          <w:szCs w:val="32"/>
          <w:highlight w:val="none"/>
        </w:rPr>
        <w:t>放射源为美国的 OMHART公司及THEmofisfer公司生产放射源，因此退役必须按放射性危险品严格管理，转送退役源保管部门或由生产厂商协议回收，并有永久档案。</w:t>
      </w:r>
    </w:p>
    <w:p>
      <w:pPr>
        <w:rPr>
          <w:rFonts w:hint="eastAsia" w:ascii="仿宋" w:hAnsi="仿宋" w:eastAsia="仿宋" w:cs="仿宋"/>
          <w:sz w:val="32"/>
          <w:szCs w:val="32"/>
          <w:highlight w:val="none"/>
        </w:rPr>
      </w:pPr>
    </w:p>
    <w:p>
      <w:pPr>
        <w:ind w:right="560"/>
        <w:jc w:val="center"/>
        <w:rPr>
          <w:rFonts w:hint="eastAsia" w:ascii="仿宋" w:hAnsi="仿宋" w:eastAsia="仿宋" w:cs="仿宋"/>
          <w:sz w:val="32"/>
          <w:szCs w:val="32"/>
          <w:highlight w:val="none"/>
        </w:rPr>
      </w:pPr>
    </w:p>
    <w:p>
      <w:pPr>
        <w:spacing w:line="360" w:lineRule="auto"/>
        <w:ind w:firstLine="5460" w:firstLineChars="1950"/>
        <w:jc w:val="center"/>
        <w:rPr>
          <w:rFonts w:hint="eastAsia" w:ascii="仿宋" w:hAnsi="仿宋" w:eastAsia="仿宋" w:cs="仿宋"/>
          <w:bCs/>
          <w:sz w:val="28"/>
          <w:szCs w:val="28"/>
          <w:highlight w:val="none"/>
        </w:rPr>
      </w:pPr>
    </w:p>
    <w:p>
      <w:pPr>
        <w:spacing w:line="360" w:lineRule="auto"/>
        <w:ind w:firstLine="5460" w:firstLineChars="1950"/>
        <w:jc w:val="center"/>
        <w:rPr>
          <w:rFonts w:hint="eastAsia" w:ascii="仿宋" w:hAnsi="仿宋" w:eastAsia="仿宋" w:cs="仿宋"/>
          <w:bCs/>
          <w:sz w:val="28"/>
          <w:szCs w:val="28"/>
          <w:highlight w:val="none"/>
        </w:rPr>
      </w:pPr>
    </w:p>
    <w:p>
      <w:pPr>
        <w:spacing w:line="360" w:lineRule="auto"/>
        <w:ind w:firstLine="5460" w:firstLineChars="1950"/>
        <w:rPr>
          <w:rFonts w:hint="eastAsia" w:ascii="仿宋" w:hAnsi="仿宋" w:eastAsia="仿宋" w:cs="仿宋"/>
          <w:bCs/>
          <w:sz w:val="28"/>
          <w:szCs w:val="28"/>
          <w:highlight w:val="none"/>
        </w:rPr>
      </w:pPr>
    </w:p>
    <w:p>
      <w:pPr>
        <w:jc w:val="both"/>
        <w:rPr>
          <w:rFonts w:hint="eastAsia" w:ascii="仿宋" w:hAnsi="仿宋" w:eastAsia="仿宋" w:cs="仿宋"/>
          <w:b/>
          <w:sz w:val="44"/>
          <w:szCs w:val="44"/>
          <w:highlight w:val="none"/>
        </w:rPr>
      </w:pPr>
      <w:bookmarkStart w:id="432" w:name="_GoBack"/>
      <w:bookmarkEnd w:id="432"/>
    </w:p>
    <w:p>
      <w:pPr>
        <w:pStyle w:val="4"/>
        <w:bidi w:val="0"/>
        <w:rPr>
          <w:rFonts w:hint="eastAsia" w:ascii="仿宋" w:hAnsi="仿宋" w:eastAsia="仿宋" w:cs="仿宋"/>
          <w:b/>
          <w:kern w:val="44"/>
          <w:sz w:val="28"/>
          <w:szCs w:val="28"/>
          <w:highlight w:val="none"/>
          <w:lang w:val="en-US" w:eastAsia="zh-CN" w:bidi="ar-SA"/>
        </w:rPr>
      </w:pPr>
      <w:bookmarkStart w:id="428" w:name="_Toc29116"/>
      <w:r>
        <w:rPr>
          <w:rFonts w:hint="eastAsia" w:ascii="仿宋" w:hAnsi="仿宋" w:eastAsia="仿宋" w:cs="仿宋"/>
          <w:b/>
          <w:kern w:val="44"/>
          <w:sz w:val="28"/>
          <w:szCs w:val="28"/>
          <w:highlight w:val="none"/>
          <w:lang w:val="en-US" w:eastAsia="zh-CN" w:bidi="ar-SA"/>
        </w:rPr>
        <w:t>附件13 放射源使用登记制度</w:t>
      </w:r>
      <w:bookmarkEnd w:id="428"/>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放射源使用登记制度</w:t>
      </w:r>
    </w:p>
    <w:p>
      <w:pPr>
        <w:spacing w:line="520" w:lineRule="exact"/>
        <w:ind w:firstLine="560" w:firstLineChars="200"/>
        <w:jc w:val="center"/>
        <w:rPr>
          <w:rFonts w:hint="eastAsia" w:ascii="仿宋" w:hAnsi="仿宋" w:eastAsia="仿宋" w:cs="仿宋"/>
          <w:sz w:val="28"/>
          <w:szCs w:val="28"/>
          <w:highlight w:val="none"/>
        </w:rPr>
      </w:pP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为加强放射源的安全使用和管理，特制定本制度：</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1、使用场所必须符合有关法律、法规和国家标准规定的条件。</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2、放射源</w:t>
      </w:r>
      <w:r>
        <w:rPr>
          <w:rFonts w:hint="eastAsia" w:ascii="仿宋" w:hAnsi="仿宋" w:eastAsia="仿宋" w:cs="仿宋"/>
          <w:color w:val="000000"/>
          <w:sz w:val="36"/>
          <w:szCs w:val="36"/>
          <w:highlight w:val="none"/>
          <w:lang w:val="en-US" w:eastAsia="zh-CN"/>
        </w:rPr>
        <w:t>如涉及</w:t>
      </w:r>
      <w:r>
        <w:rPr>
          <w:rFonts w:hint="eastAsia" w:ascii="仿宋" w:hAnsi="仿宋" w:eastAsia="仿宋" w:cs="仿宋"/>
          <w:color w:val="000000"/>
          <w:sz w:val="36"/>
          <w:szCs w:val="36"/>
          <w:highlight w:val="none"/>
        </w:rPr>
        <w:t>使用</w:t>
      </w:r>
      <w:r>
        <w:rPr>
          <w:rFonts w:hint="eastAsia" w:ascii="仿宋" w:hAnsi="仿宋" w:eastAsia="仿宋" w:cs="仿宋"/>
          <w:color w:val="000000"/>
          <w:sz w:val="36"/>
          <w:szCs w:val="36"/>
          <w:highlight w:val="none"/>
          <w:lang w:eastAsia="zh-CN"/>
        </w:rPr>
        <w:t>，</w:t>
      </w:r>
      <w:r>
        <w:rPr>
          <w:rFonts w:hint="eastAsia" w:ascii="仿宋" w:hAnsi="仿宋" w:eastAsia="仿宋" w:cs="仿宋"/>
          <w:color w:val="000000"/>
          <w:sz w:val="36"/>
          <w:szCs w:val="36"/>
          <w:highlight w:val="none"/>
        </w:rPr>
        <w:t>登记由专人负责。对购进设备中的放射源，登记其核素，活度、出厂日期、标号、类别、用途、场所、来源、及编码。记录好出入库的储存、使用和归还，做到账物相符。建立完整的台账制度。</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3、放射源</w:t>
      </w:r>
      <w:r>
        <w:rPr>
          <w:rFonts w:hint="eastAsia" w:ascii="仿宋" w:hAnsi="仿宋" w:eastAsia="仿宋" w:cs="仿宋"/>
          <w:color w:val="000000"/>
          <w:sz w:val="36"/>
          <w:szCs w:val="36"/>
          <w:highlight w:val="none"/>
          <w:lang w:val="en-US" w:eastAsia="zh-CN"/>
        </w:rPr>
        <w:t>如涉及存放，</w:t>
      </w:r>
      <w:r>
        <w:rPr>
          <w:rFonts w:hint="eastAsia" w:ascii="仿宋" w:hAnsi="仿宋" w:eastAsia="仿宋" w:cs="仿宋"/>
          <w:color w:val="000000"/>
          <w:sz w:val="36"/>
          <w:szCs w:val="36"/>
          <w:highlight w:val="none"/>
        </w:rPr>
        <w:t>应单独存放，不得与易燃、易爆、腐蚀性的危险物品一起存放，实行双人、双锁的保管制度。</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4、对从事放射源工作的人员，必须进行体检，并建立健康监护、个人剂量、事故照射记录档案。</w:t>
      </w:r>
    </w:p>
    <w:p>
      <w:pPr>
        <w:spacing w:line="520" w:lineRule="exact"/>
        <w:ind w:firstLine="640" w:firstLineChars="200"/>
        <w:jc w:val="center"/>
        <w:rPr>
          <w:rFonts w:hint="eastAsia" w:ascii="仿宋" w:hAnsi="仿宋" w:eastAsia="仿宋" w:cs="仿宋"/>
          <w:sz w:val="32"/>
          <w:szCs w:val="32"/>
          <w:highlight w:val="none"/>
        </w:rPr>
      </w:pPr>
    </w:p>
    <w:p>
      <w:pPr>
        <w:spacing w:line="520" w:lineRule="exact"/>
        <w:ind w:right="1280" w:firstLine="4320" w:firstLineChars="1350"/>
        <w:jc w:val="center"/>
        <w:rPr>
          <w:rFonts w:hint="eastAsia" w:ascii="仿宋" w:hAnsi="仿宋" w:eastAsia="仿宋" w:cs="仿宋"/>
          <w:sz w:val="32"/>
          <w:szCs w:val="32"/>
          <w:highlight w:val="none"/>
        </w:rPr>
      </w:pPr>
    </w:p>
    <w:p>
      <w:pPr>
        <w:spacing w:line="520" w:lineRule="exact"/>
        <w:ind w:right="1280" w:firstLine="4320" w:firstLineChars="1350"/>
        <w:jc w:val="center"/>
        <w:rPr>
          <w:rFonts w:hint="eastAsia" w:ascii="仿宋" w:hAnsi="仿宋" w:eastAsia="仿宋" w:cs="仿宋"/>
          <w:sz w:val="32"/>
          <w:szCs w:val="32"/>
          <w:highlight w:val="none"/>
        </w:rPr>
      </w:pPr>
    </w:p>
    <w:p>
      <w:pPr>
        <w:spacing w:line="520" w:lineRule="exact"/>
        <w:ind w:right="1280" w:firstLine="3780" w:firstLineChars="1350"/>
        <w:jc w:val="center"/>
        <w:rPr>
          <w:rFonts w:hint="eastAsia" w:ascii="仿宋" w:hAnsi="仿宋" w:eastAsia="仿宋" w:cs="仿宋"/>
          <w:sz w:val="28"/>
          <w:szCs w:val="28"/>
          <w:highlight w:val="none"/>
        </w:rPr>
      </w:pPr>
    </w:p>
    <w:p>
      <w:pPr>
        <w:spacing w:line="520" w:lineRule="exact"/>
        <w:ind w:right="1280" w:firstLine="3780" w:firstLineChars="1350"/>
        <w:jc w:val="center"/>
        <w:rPr>
          <w:rFonts w:hint="eastAsia" w:ascii="仿宋" w:hAnsi="仿宋" w:eastAsia="仿宋" w:cs="仿宋"/>
          <w:sz w:val="28"/>
          <w:szCs w:val="28"/>
          <w:highlight w:val="none"/>
        </w:rPr>
      </w:pPr>
    </w:p>
    <w:p>
      <w:pPr>
        <w:pStyle w:val="4"/>
        <w:bidi w:val="0"/>
        <w:rPr>
          <w:rFonts w:hint="eastAsia" w:ascii="仿宋" w:hAnsi="仿宋" w:eastAsia="仿宋" w:cs="仿宋"/>
          <w:b/>
          <w:kern w:val="44"/>
          <w:sz w:val="28"/>
          <w:szCs w:val="28"/>
          <w:highlight w:val="none"/>
          <w:lang w:val="en-US" w:eastAsia="zh-CN" w:bidi="ar-SA"/>
        </w:rPr>
      </w:pPr>
      <w:bookmarkStart w:id="429" w:name="_Toc25754"/>
      <w:r>
        <w:rPr>
          <w:rFonts w:hint="eastAsia" w:ascii="仿宋" w:hAnsi="仿宋" w:eastAsia="仿宋" w:cs="仿宋"/>
          <w:b/>
          <w:kern w:val="44"/>
          <w:sz w:val="28"/>
          <w:szCs w:val="28"/>
          <w:highlight w:val="none"/>
          <w:lang w:val="en-US" w:eastAsia="zh-CN" w:bidi="ar-SA"/>
        </w:rPr>
        <w:t>附件14 人员培训计划</w:t>
      </w:r>
      <w:bookmarkEnd w:id="429"/>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人员培训计划</w:t>
      </w:r>
    </w:p>
    <w:p>
      <w:pPr>
        <w:ind w:firstLine="560" w:firstLineChars="200"/>
        <w:jc w:val="center"/>
        <w:rPr>
          <w:rFonts w:hint="eastAsia" w:ascii="仿宋" w:hAnsi="仿宋" w:eastAsia="仿宋" w:cs="仿宋"/>
          <w:sz w:val="28"/>
          <w:szCs w:val="28"/>
          <w:highlight w:val="none"/>
        </w:rPr>
      </w:pP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为了加强员工在从事设备使用中，增强放射性物质辐射安全防护意识，提高员工辐射安全防护知识，公司决定定期组织员工进行辐射防护方面知识的学习。</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一、管理部门的培训</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1、让每个从事设备使用及管理的员工，去参加国家或省级部门举办的辐射防护措施培训班，提高防护意识、安全上岗，杜绝意外辐射事故的发生。公司现有3人取得</w:t>
      </w:r>
      <w:r>
        <w:rPr>
          <w:rFonts w:hint="eastAsia" w:ascii="仿宋" w:hAnsi="仿宋" w:eastAsia="仿宋" w:cs="仿宋"/>
          <w:color w:val="000000"/>
          <w:sz w:val="36"/>
          <w:szCs w:val="36"/>
          <w:highlight w:val="none"/>
          <w:lang w:val="en-US" w:eastAsia="zh-CN"/>
        </w:rPr>
        <w:t>《核技术利用辐射与安全防护考核合格证书》</w:t>
      </w:r>
      <w:r>
        <w:rPr>
          <w:rFonts w:hint="eastAsia" w:ascii="仿宋" w:hAnsi="仿宋" w:eastAsia="仿宋" w:cs="仿宋"/>
          <w:color w:val="000000"/>
          <w:sz w:val="36"/>
          <w:szCs w:val="36"/>
          <w:highlight w:val="none"/>
        </w:rPr>
        <w:t>，以后每四年接受一次再培训。</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二、公司内部的培训</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一季度组织员工进行辐射安全操作规程及岗位职责方面的学习。二季度加强员工辐射防护及安全保卫制度方面的知识巩固。三季度防污染及安全保卫、设备维护的再学习。四季度进行紧急预案、事故的应急措施演练，提高事故的应急能力，合理处理事故，总结经验。并计划性组织员工参加国家级</w:t>
      </w:r>
      <w:r>
        <w:rPr>
          <w:rFonts w:hint="eastAsia" w:ascii="仿宋" w:hAnsi="仿宋" w:eastAsia="仿宋" w:cs="仿宋"/>
          <w:color w:val="000000"/>
          <w:sz w:val="36"/>
          <w:szCs w:val="36"/>
          <w:highlight w:val="none"/>
          <w:lang w:eastAsia="zh-CN"/>
        </w:rPr>
        <w:t>、</w:t>
      </w:r>
      <w:r>
        <w:rPr>
          <w:rFonts w:hint="eastAsia" w:ascii="仿宋" w:hAnsi="仿宋" w:eastAsia="仿宋" w:cs="仿宋"/>
          <w:color w:val="000000"/>
          <w:sz w:val="36"/>
          <w:szCs w:val="36"/>
          <w:highlight w:val="none"/>
          <w:lang w:val="en-US" w:eastAsia="zh-CN"/>
        </w:rPr>
        <w:t>省部级、公司级</w:t>
      </w:r>
      <w:r>
        <w:rPr>
          <w:rFonts w:hint="eastAsia" w:ascii="仿宋" w:hAnsi="仿宋" w:eastAsia="仿宋" w:cs="仿宋"/>
          <w:color w:val="000000"/>
          <w:sz w:val="36"/>
          <w:szCs w:val="36"/>
          <w:highlight w:val="none"/>
        </w:rPr>
        <w:t>培训班，提高辐射工作方面的知识。</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三、对持证人员的培训，</w:t>
      </w:r>
      <w:r>
        <w:rPr>
          <w:rFonts w:hint="eastAsia" w:ascii="仿宋" w:hAnsi="仿宋" w:eastAsia="仿宋" w:cs="仿宋"/>
          <w:color w:val="000000"/>
          <w:sz w:val="36"/>
          <w:szCs w:val="36"/>
          <w:highlight w:val="none"/>
          <w:lang w:val="en-US" w:eastAsia="zh-CN"/>
        </w:rPr>
        <w:t>合格证到期前6个月，</w:t>
      </w:r>
      <w:r>
        <w:rPr>
          <w:rFonts w:hint="eastAsia" w:ascii="仿宋" w:hAnsi="仿宋" w:eastAsia="仿宋" w:cs="仿宋"/>
          <w:color w:val="000000"/>
          <w:sz w:val="36"/>
          <w:szCs w:val="36"/>
          <w:highlight w:val="none"/>
        </w:rPr>
        <w:t>公司派工作人员进行</w:t>
      </w:r>
      <w:r>
        <w:rPr>
          <w:rFonts w:hint="eastAsia" w:ascii="仿宋" w:hAnsi="仿宋" w:eastAsia="仿宋" w:cs="仿宋"/>
          <w:color w:val="000000"/>
          <w:sz w:val="36"/>
          <w:szCs w:val="36"/>
          <w:highlight w:val="none"/>
          <w:lang w:val="en-US" w:eastAsia="zh-CN"/>
        </w:rPr>
        <w:t>再</w:t>
      </w:r>
      <w:r>
        <w:rPr>
          <w:rFonts w:hint="eastAsia" w:ascii="仿宋" w:hAnsi="仿宋" w:eastAsia="仿宋" w:cs="仿宋"/>
          <w:color w:val="000000"/>
          <w:sz w:val="36"/>
          <w:szCs w:val="36"/>
          <w:highlight w:val="none"/>
        </w:rPr>
        <w:t>培训</w:t>
      </w:r>
      <w:r>
        <w:rPr>
          <w:rFonts w:hint="eastAsia" w:ascii="仿宋" w:hAnsi="仿宋" w:eastAsia="仿宋" w:cs="仿宋"/>
          <w:color w:val="000000"/>
          <w:sz w:val="36"/>
          <w:szCs w:val="36"/>
          <w:highlight w:val="none"/>
          <w:lang w:val="en-US" w:eastAsia="zh-CN"/>
        </w:rPr>
        <w:t>取证</w:t>
      </w:r>
      <w:r>
        <w:rPr>
          <w:rFonts w:hint="eastAsia" w:ascii="仿宋" w:hAnsi="仿宋" w:eastAsia="仿宋" w:cs="仿宋"/>
          <w:color w:val="000000"/>
          <w:sz w:val="36"/>
          <w:szCs w:val="36"/>
          <w:highlight w:val="none"/>
        </w:rPr>
        <w:t>。</w:t>
      </w:r>
    </w:p>
    <w:p>
      <w:pPr>
        <w:spacing w:line="360" w:lineRule="auto"/>
        <w:ind w:firstLine="720" w:firstLineChars="200"/>
        <w:rPr>
          <w:rFonts w:hint="eastAsia" w:ascii="仿宋" w:hAnsi="仿宋" w:eastAsia="仿宋" w:cs="仿宋"/>
          <w:color w:val="000000"/>
          <w:sz w:val="36"/>
          <w:szCs w:val="36"/>
          <w:highlight w:val="none"/>
        </w:rPr>
      </w:pPr>
    </w:p>
    <w:p>
      <w:pPr>
        <w:pStyle w:val="4"/>
        <w:bidi w:val="0"/>
        <w:rPr>
          <w:rFonts w:hint="eastAsia" w:ascii="仿宋" w:hAnsi="仿宋" w:eastAsia="仿宋" w:cs="仿宋"/>
          <w:b/>
          <w:kern w:val="44"/>
          <w:sz w:val="28"/>
          <w:szCs w:val="28"/>
          <w:highlight w:val="none"/>
          <w:lang w:val="en-US" w:eastAsia="zh-CN" w:bidi="ar-SA"/>
        </w:rPr>
      </w:pPr>
      <w:bookmarkStart w:id="430" w:name="_Toc28925"/>
      <w:r>
        <w:rPr>
          <w:rFonts w:hint="eastAsia" w:ascii="仿宋" w:hAnsi="仿宋" w:eastAsia="仿宋" w:cs="仿宋"/>
          <w:b/>
          <w:kern w:val="44"/>
          <w:sz w:val="28"/>
          <w:szCs w:val="28"/>
          <w:highlight w:val="none"/>
          <w:lang w:val="en-US" w:eastAsia="zh-CN" w:bidi="ar-SA"/>
        </w:rPr>
        <w:t>附件15 放射源监测方案</w:t>
      </w:r>
      <w:bookmarkEnd w:id="430"/>
    </w:p>
    <w:p>
      <w:pPr>
        <w:widowControl/>
        <w:spacing w:line="520" w:lineRule="atLeast"/>
        <w:rPr>
          <w:rFonts w:hint="eastAsia" w:ascii="仿宋" w:hAnsi="仿宋" w:eastAsia="仿宋" w:cs="仿宋"/>
          <w:b/>
          <w:bCs/>
          <w:color w:val="000000"/>
          <w:kern w:val="0"/>
          <w:sz w:val="44"/>
          <w:szCs w:val="44"/>
          <w:highlight w:val="none"/>
        </w:rPr>
      </w:pPr>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放射源监测方案</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在运行期间，环境γ贯穿辐射剂量率的监测按HJ/T-2001《辐射环境监测技术规范》进行。</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1）公司根据设备上的放射源配备个人剂量报警仪、辐射剂量当量仪、辐射巡检仪、铅衣、铅手套等相应的监测仪器和防护用品。</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2）监测内容：在线运行期间，监测的内容主要是环境γ贯穿辐射剂量率的监测；严格按照《职业性外照射个人监测规范》（GBZ128--2002）的要求进行个人剂量监测，并做好记录、档案和报告。</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3）监测频次</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a、正常运行时，每年进行一次监测，数据存档备查。</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b、进行维修前、后，应分别进行一次监测。</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c、事故发生后，在事故处理前、后对其周围环境分别进行一次监测。</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4）、监测点位置</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正常运行和维修前后的监测点位置：监测点位置为源容器表面5cm处和100cm处；安装位置周围距人员活动最近的场所等。发生事故时监测点位置：可能受到放射性污染的区域。</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5）、辐射工作人员个人剂量监测：用热释光个人剂量计测定个人剂量当量。监测周期：每三个月进行一次监测。</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其以上监测内容委托具有相应资质的单位来承担。</w:t>
      </w: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pStyle w:val="4"/>
        <w:bidi w:val="0"/>
        <w:rPr>
          <w:rFonts w:hint="eastAsia" w:ascii="仿宋" w:hAnsi="仿宋" w:eastAsia="仿宋" w:cs="仿宋"/>
          <w:b/>
          <w:kern w:val="44"/>
          <w:sz w:val="28"/>
          <w:szCs w:val="28"/>
          <w:highlight w:val="none"/>
          <w:lang w:val="en-US" w:eastAsia="zh-CN" w:bidi="ar-SA"/>
        </w:rPr>
      </w:pPr>
      <w:bookmarkStart w:id="431" w:name="_Toc4681"/>
      <w:r>
        <w:rPr>
          <w:rFonts w:hint="eastAsia" w:ascii="仿宋" w:hAnsi="仿宋" w:eastAsia="仿宋" w:cs="仿宋"/>
          <w:b/>
          <w:kern w:val="44"/>
          <w:sz w:val="28"/>
          <w:szCs w:val="28"/>
          <w:highlight w:val="none"/>
          <w:lang w:val="en-US" w:eastAsia="zh-CN" w:bidi="ar-SA"/>
        </w:rPr>
        <w:t>附件16 大检修辐射安全管理制度</w:t>
      </w:r>
      <w:bookmarkEnd w:id="431"/>
    </w:p>
    <w:p>
      <w:pPr>
        <w:jc w:val="center"/>
        <w:rPr>
          <w:rFonts w:hint="eastAsia" w:ascii="仿宋" w:hAnsi="仿宋" w:eastAsia="仿宋" w:cs="仿宋"/>
          <w:sz w:val="44"/>
          <w:szCs w:val="52"/>
          <w:highlight w:val="none"/>
          <w:lang w:eastAsia="zh-CN"/>
        </w:rPr>
      </w:pPr>
      <w:r>
        <w:rPr>
          <w:rFonts w:hint="eastAsia" w:ascii="仿宋" w:hAnsi="仿宋" w:eastAsia="仿宋" w:cs="仿宋"/>
          <w:b/>
          <w:bCs/>
          <w:color w:val="000000"/>
          <w:sz w:val="52"/>
          <w:szCs w:val="52"/>
          <w:highlight w:val="none"/>
          <w:lang w:eastAsia="zh-CN"/>
        </w:rPr>
        <w:t>大检修辐射安全管理制度</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按照国家相关法律法规、集团公司和股份公司相关制度要求和HSE体系审核相关规定，为保护和改善生态环境，防治放射性环境污染，为加强大检修</w:t>
      </w:r>
      <w:r>
        <w:rPr>
          <w:rFonts w:hint="eastAsia" w:ascii="仿宋" w:hAnsi="仿宋" w:eastAsia="仿宋" w:cs="仿宋"/>
          <w:color w:val="000000"/>
          <w:sz w:val="36"/>
          <w:szCs w:val="36"/>
          <w:highlight w:val="none"/>
          <w:lang w:eastAsia="zh-CN"/>
        </w:rPr>
        <w:t>期间辐射安全</w:t>
      </w:r>
      <w:r>
        <w:rPr>
          <w:rFonts w:hint="eastAsia" w:ascii="仿宋" w:hAnsi="仿宋" w:eastAsia="仿宋" w:cs="仿宋"/>
          <w:color w:val="000000"/>
          <w:sz w:val="36"/>
          <w:szCs w:val="36"/>
          <w:highlight w:val="none"/>
        </w:rPr>
        <w:t>监督管理，做好放射性环境保护工作，</w:t>
      </w:r>
      <w:r>
        <w:rPr>
          <w:rFonts w:hint="eastAsia" w:ascii="仿宋" w:hAnsi="仿宋" w:eastAsia="仿宋" w:cs="仿宋"/>
          <w:color w:val="000000"/>
          <w:sz w:val="36"/>
          <w:szCs w:val="36"/>
          <w:highlight w:val="none"/>
          <w:lang w:eastAsia="zh-CN"/>
        </w:rPr>
        <w:t>明确</w:t>
      </w:r>
      <w:r>
        <w:rPr>
          <w:rFonts w:hint="eastAsia" w:ascii="仿宋" w:hAnsi="仿宋" w:eastAsia="仿宋" w:cs="仿宋"/>
          <w:color w:val="000000"/>
          <w:sz w:val="36"/>
          <w:szCs w:val="36"/>
          <w:highlight w:val="none"/>
        </w:rPr>
        <w:t>各种检修</w:t>
      </w:r>
      <w:r>
        <w:rPr>
          <w:rFonts w:hint="eastAsia" w:ascii="仿宋" w:hAnsi="仿宋" w:eastAsia="仿宋" w:cs="仿宋"/>
          <w:color w:val="000000"/>
          <w:sz w:val="36"/>
          <w:szCs w:val="36"/>
          <w:highlight w:val="none"/>
          <w:lang w:eastAsia="zh-CN"/>
        </w:rPr>
        <w:t>期间放射源管理要求</w:t>
      </w:r>
      <w:r>
        <w:rPr>
          <w:rFonts w:hint="eastAsia" w:ascii="仿宋" w:hAnsi="仿宋" w:eastAsia="仿宋" w:cs="仿宋"/>
          <w:color w:val="000000"/>
          <w:sz w:val="36"/>
          <w:szCs w:val="36"/>
          <w:highlight w:val="none"/>
        </w:rPr>
        <w:t>，确保检修</w:t>
      </w:r>
      <w:r>
        <w:rPr>
          <w:rFonts w:hint="eastAsia" w:ascii="仿宋" w:hAnsi="仿宋" w:eastAsia="仿宋" w:cs="仿宋"/>
          <w:color w:val="000000"/>
          <w:sz w:val="36"/>
          <w:szCs w:val="36"/>
          <w:highlight w:val="none"/>
          <w:lang w:eastAsia="zh-CN"/>
        </w:rPr>
        <w:t>期间放射工作</w:t>
      </w:r>
      <w:r>
        <w:rPr>
          <w:rFonts w:hint="eastAsia" w:ascii="仿宋" w:hAnsi="仿宋" w:eastAsia="仿宋" w:cs="仿宋"/>
          <w:color w:val="000000"/>
          <w:sz w:val="36"/>
          <w:szCs w:val="36"/>
          <w:highlight w:val="none"/>
        </w:rPr>
        <w:t>安全，杜绝</w:t>
      </w:r>
      <w:r>
        <w:rPr>
          <w:rFonts w:hint="eastAsia" w:ascii="仿宋" w:hAnsi="仿宋" w:eastAsia="仿宋" w:cs="仿宋"/>
          <w:color w:val="000000"/>
          <w:sz w:val="36"/>
          <w:szCs w:val="36"/>
          <w:highlight w:val="none"/>
          <w:lang w:eastAsia="zh-CN"/>
        </w:rPr>
        <w:t>环保事件的发生</w:t>
      </w:r>
      <w:r>
        <w:rPr>
          <w:rFonts w:hint="eastAsia" w:ascii="仿宋" w:hAnsi="仿宋" w:eastAsia="仿宋" w:cs="仿宋"/>
          <w:color w:val="000000"/>
          <w:sz w:val="36"/>
          <w:szCs w:val="36"/>
          <w:highlight w:val="none"/>
        </w:rPr>
        <w:t>，特制定大检修辐射安全管理制度。</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一、总体要求</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公司现有22枚CS-137放射源，</w:t>
      </w:r>
      <w:r>
        <w:rPr>
          <w:rFonts w:hint="eastAsia" w:ascii="仿宋" w:hAnsi="仿宋" w:eastAsia="仿宋" w:cs="仿宋"/>
          <w:color w:val="000000"/>
          <w:sz w:val="36"/>
          <w:szCs w:val="36"/>
          <w:highlight w:val="none"/>
          <w:lang w:eastAsia="zh-CN"/>
        </w:rPr>
        <w:t>炼油二部</w:t>
      </w:r>
      <w:r>
        <w:rPr>
          <w:rFonts w:hint="eastAsia" w:ascii="仿宋" w:hAnsi="仿宋" w:eastAsia="仿宋" w:cs="仿宋"/>
          <w:color w:val="000000"/>
          <w:sz w:val="36"/>
          <w:szCs w:val="36"/>
          <w:highlight w:val="none"/>
        </w:rPr>
        <w:t>放射源9枚，</w:t>
      </w:r>
      <w:r>
        <w:rPr>
          <w:rFonts w:hint="eastAsia" w:ascii="仿宋" w:hAnsi="仿宋" w:eastAsia="仿宋" w:cs="仿宋"/>
          <w:color w:val="000000"/>
          <w:sz w:val="36"/>
          <w:szCs w:val="36"/>
          <w:highlight w:val="none"/>
          <w:lang w:eastAsia="zh-CN"/>
        </w:rPr>
        <w:t>炼油三部</w:t>
      </w:r>
      <w:r>
        <w:rPr>
          <w:rFonts w:hint="eastAsia" w:ascii="仿宋" w:hAnsi="仿宋" w:eastAsia="仿宋" w:cs="仿宋"/>
          <w:color w:val="000000"/>
          <w:sz w:val="36"/>
          <w:szCs w:val="36"/>
          <w:highlight w:val="none"/>
        </w:rPr>
        <w:t>放射源13枚。其中Ⅳ类源</w:t>
      </w:r>
      <w:r>
        <w:rPr>
          <w:rFonts w:hint="eastAsia" w:ascii="仿宋" w:hAnsi="仿宋" w:eastAsia="仿宋" w:cs="仿宋"/>
          <w:color w:val="000000"/>
          <w:sz w:val="36"/>
          <w:szCs w:val="36"/>
          <w:highlight w:val="none"/>
          <w:lang w:val="en-US" w:eastAsia="zh-CN"/>
        </w:rPr>
        <w:t>6</w:t>
      </w:r>
      <w:r>
        <w:rPr>
          <w:rFonts w:hint="eastAsia" w:ascii="仿宋" w:hAnsi="仿宋" w:eastAsia="仿宋" w:cs="仿宋"/>
          <w:color w:val="000000"/>
          <w:sz w:val="36"/>
          <w:szCs w:val="36"/>
          <w:highlight w:val="none"/>
        </w:rPr>
        <w:t>枚，Ⅴ类源1</w:t>
      </w:r>
      <w:r>
        <w:rPr>
          <w:rFonts w:hint="eastAsia" w:ascii="仿宋" w:hAnsi="仿宋" w:eastAsia="仿宋" w:cs="仿宋"/>
          <w:color w:val="000000"/>
          <w:sz w:val="36"/>
          <w:szCs w:val="36"/>
          <w:highlight w:val="none"/>
          <w:lang w:val="en-US" w:eastAsia="zh-CN"/>
        </w:rPr>
        <w:t>6</w:t>
      </w:r>
      <w:r>
        <w:rPr>
          <w:rFonts w:hint="eastAsia" w:ascii="仿宋" w:hAnsi="仿宋" w:eastAsia="仿宋" w:cs="仿宋"/>
          <w:color w:val="000000"/>
          <w:sz w:val="36"/>
          <w:szCs w:val="36"/>
          <w:highlight w:val="none"/>
        </w:rPr>
        <w:t>枚。检修期间放射源不进行拆除，由属地单位、三修车间编制专项</w:t>
      </w:r>
      <w:r>
        <w:rPr>
          <w:rFonts w:hint="eastAsia" w:ascii="仿宋" w:hAnsi="仿宋" w:eastAsia="仿宋" w:cs="仿宋"/>
          <w:color w:val="000000"/>
          <w:sz w:val="36"/>
          <w:szCs w:val="36"/>
          <w:highlight w:val="none"/>
          <w:lang w:eastAsia="zh-CN"/>
        </w:rPr>
        <w:t>管理方案</w:t>
      </w:r>
      <w:r>
        <w:rPr>
          <w:rFonts w:hint="eastAsia" w:ascii="仿宋" w:hAnsi="仿宋" w:eastAsia="仿宋" w:cs="仿宋"/>
          <w:color w:val="000000"/>
          <w:sz w:val="36"/>
          <w:szCs w:val="36"/>
          <w:highlight w:val="none"/>
        </w:rPr>
        <w:t>，建立巡检制度</w:t>
      </w:r>
      <w:r>
        <w:rPr>
          <w:rFonts w:hint="eastAsia" w:ascii="仿宋" w:hAnsi="仿宋" w:eastAsia="仿宋" w:cs="仿宋"/>
          <w:color w:val="000000"/>
          <w:sz w:val="36"/>
          <w:szCs w:val="36"/>
          <w:highlight w:val="none"/>
          <w:lang w:eastAsia="zh-CN"/>
        </w:rPr>
        <w:t>并</w:t>
      </w:r>
      <w:r>
        <w:rPr>
          <w:rFonts w:hint="eastAsia" w:ascii="仿宋" w:hAnsi="仿宋" w:eastAsia="仿宋" w:cs="仿宋"/>
          <w:color w:val="000000"/>
          <w:sz w:val="36"/>
          <w:szCs w:val="36"/>
          <w:highlight w:val="none"/>
        </w:rPr>
        <w:t xml:space="preserve">做好记录，安全监督部门做好监督检查。  </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149"/>
        <w:gridCol w:w="2132"/>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2842"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放射源使用单位</w:t>
            </w:r>
          </w:p>
        </w:tc>
        <w:tc>
          <w:tcPr>
            <w:tcW w:w="2149"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数量（枚）</w:t>
            </w:r>
          </w:p>
        </w:tc>
        <w:tc>
          <w:tcPr>
            <w:tcW w:w="2132"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Ⅳ类源（枚）</w:t>
            </w:r>
          </w:p>
        </w:tc>
        <w:tc>
          <w:tcPr>
            <w:tcW w:w="2114"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Ⅴ类源（枚）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2"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炼油二部</w:t>
            </w:r>
          </w:p>
        </w:tc>
        <w:tc>
          <w:tcPr>
            <w:tcW w:w="2149"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9</w:t>
            </w:r>
          </w:p>
        </w:tc>
        <w:tc>
          <w:tcPr>
            <w:tcW w:w="2132"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0</w:t>
            </w:r>
          </w:p>
        </w:tc>
        <w:tc>
          <w:tcPr>
            <w:tcW w:w="2114"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2"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炼油三部</w:t>
            </w:r>
          </w:p>
        </w:tc>
        <w:tc>
          <w:tcPr>
            <w:tcW w:w="2149"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13</w:t>
            </w:r>
          </w:p>
        </w:tc>
        <w:tc>
          <w:tcPr>
            <w:tcW w:w="2132"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6</w:t>
            </w:r>
          </w:p>
        </w:tc>
        <w:tc>
          <w:tcPr>
            <w:tcW w:w="2114"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2842" w:type="dxa"/>
            <w:tcBorders>
              <w:tl2br w:val="nil"/>
              <w:tr2bl w:val="nil"/>
            </w:tcBorders>
            <w:noWrap w:val="0"/>
            <w:vAlign w:val="center"/>
          </w:tcPr>
          <w:p>
            <w:pPr>
              <w:spacing w:line="240" w:lineRule="auto"/>
              <w:ind w:firstLine="720" w:firstLineChars="200"/>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合计</w:t>
            </w:r>
          </w:p>
        </w:tc>
        <w:tc>
          <w:tcPr>
            <w:tcW w:w="2149"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22</w:t>
            </w:r>
          </w:p>
        </w:tc>
        <w:tc>
          <w:tcPr>
            <w:tcW w:w="2132"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lang w:val="en-US" w:eastAsia="zh-CN"/>
              </w:rPr>
              <w:t>6</w:t>
            </w:r>
          </w:p>
        </w:tc>
        <w:tc>
          <w:tcPr>
            <w:tcW w:w="2114"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val="en-US" w:eastAsia="zh-CN"/>
              </w:rPr>
              <w:t>16</w:t>
            </w:r>
          </w:p>
        </w:tc>
      </w:tr>
    </w:tbl>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二、各部门职责</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1.质量健康安全环保部</w:t>
      </w:r>
      <w:r>
        <w:rPr>
          <w:rFonts w:hint="eastAsia" w:ascii="仿宋" w:hAnsi="仿宋" w:eastAsia="仿宋" w:cs="仿宋"/>
          <w:color w:val="000000"/>
          <w:sz w:val="36"/>
          <w:szCs w:val="36"/>
          <w:highlight w:val="none"/>
          <w:lang w:eastAsia="zh-CN"/>
        </w:rPr>
        <w:t>是辐射安全的监督管理部门，制修订管理规定并监督执行；会审相关作业方案和许可证；组织涉及射线作业人员的入厂培训和体检；组织对从事放射性工作的人员进行个人剂量监测和职业健康检查，监督对涉及射线放射性场所进行辐射监测与评价。</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2.</w:t>
      </w:r>
      <w:r>
        <w:rPr>
          <w:rFonts w:hint="eastAsia" w:ascii="仿宋" w:hAnsi="仿宋" w:eastAsia="仿宋" w:cs="仿宋"/>
          <w:color w:val="000000"/>
          <w:sz w:val="36"/>
          <w:szCs w:val="36"/>
          <w:highlight w:val="none"/>
          <w:lang w:eastAsia="zh-CN"/>
        </w:rPr>
        <w:t>机动设备</w:t>
      </w:r>
      <w:r>
        <w:rPr>
          <w:rFonts w:hint="eastAsia" w:ascii="仿宋" w:hAnsi="仿宋" w:eastAsia="仿宋" w:cs="仿宋"/>
          <w:color w:val="000000"/>
          <w:sz w:val="36"/>
          <w:szCs w:val="36"/>
          <w:highlight w:val="none"/>
          <w:lang w:val="en-US" w:eastAsia="zh-CN"/>
        </w:rPr>
        <w:t>部</w:t>
      </w:r>
      <w:r>
        <w:rPr>
          <w:rFonts w:hint="eastAsia" w:ascii="仿宋" w:hAnsi="仿宋" w:eastAsia="仿宋" w:cs="仿宋"/>
          <w:color w:val="000000"/>
          <w:sz w:val="36"/>
          <w:szCs w:val="36"/>
          <w:highlight w:val="none"/>
          <w:lang w:eastAsia="zh-CN"/>
        </w:rPr>
        <w:t>负责放射性同位素与射线装置检维修以及施工作业过程使用的放射性同位素与射线装置的归口管理，负责施工单位和委托运维单位资质和人员资质的审核准入；负责放射源库的运行维护和管理；负责组织相关作业方案的编制和作业许可证会签；监督检查放射性同位素与射线装置作业措施的落实情况。</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3.</w:t>
      </w:r>
      <w:r>
        <w:rPr>
          <w:rFonts w:hint="eastAsia" w:ascii="仿宋" w:hAnsi="仿宋" w:eastAsia="仿宋" w:cs="仿宋"/>
          <w:color w:val="000000"/>
          <w:sz w:val="36"/>
          <w:szCs w:val="36"/>
          <w:highlight w:val="none"/>
          <w:lang w:eastAsia="zh-CN"/>
        </w:rPr>
        <w:t>工程管理部负责项目施工过程中放射性同位素与射线装置作业管理，负责施工单位资质和人员资质的审核准入；负责组织相关作业方案的编制和作业许可证会签；监督检查放射性同位素与射线装置作业措施的落实。</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4.</w:t>
      </w:r>
      <w:r>
        <w:rPr>
          <w:rFonts w:hint="eastAsia" w:ascii="仿宋" w:hAnsi="仿宋" w:eastAsia="仿宋" w:cs="仿宋"/>
          <w:color w:val="000000"/>
          <w:sz w:val="36"/>
          <w:szCs w:val="36"/>
          <w:highlight w:val="none"/>
          <w:lang w:eastAsia="zh-CN"/>
        </w:rPr>
        <w:t>生产运行</w:t>
      </w:r>
      <w:r>
        <w:rPr>
          <w:rFonts w:hint="eastAsia" w:ascii="仿宋" w:hAnsi="仿宋" w:eastAsia="仿宋" w:cs="仿宋"/>
          <w:color w:val="000000"/>
          <w:sz w:val="36"/>
          <w:szCs w:val="36"/>
          <w:highlight w:val="none"/>
          <w:lang w:val="en-US" w:eastAsia="zh-CN"/>
        </w:rPr>
        <w:t>部</w:t>
      </w:r>
      <w:r>
        <w:rPr>
          <w:rFonts w:hint="eastAsia" w:ascii="仿宋" w:hAnsi="仿宋" w:eastAsia="仿宋" w:cs="仿宋"/>
          <w:color w:val="000000"/>
          <w:sz w:val="36"/>
          <w:szCs w:val="36"/>
          <w:highlight w:val="none"/>
          <w:lang w:eastAsia="zh-CN"/>
        </w:rPr>
        <w:t>负责放射性同位素与射线装置作业的监督管理，负责作业许可证的会签；负责检查作业地点、道路、作业时间与相关单位人员的告知及其落实情况；遇有突发事件及时启动相关应急预案。</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5.</w:t>
      </w:r>
      <w:r>
        <w:rPr>
          <w:rFonts w:hint="eastAsia" w:ascii="仿宋" w:hAnsi="仿宋" w:eastAsia="仿宋" w:cs="仿宋"/>
          <w:color w:val="000000"/>
          <w:sz w:val="36"/>
          <w:szCs w:val="36"/>
          <w:highlight w:val="none"/>
          <w:lang w:eastAsia="zh-CN"/>
        </w:rPr>
        <w:t>基层</w:t>
      </w:r>
      <w:r>
        <w:rPr>
          <w:rFonts w:hint="eastAsia" w:ascii="仿宋" w:hAnsi="仿宋" w:eastAsia="仿宋" w:cs="仿宋"/>
          <w:color w:val="000000"/>
          <w:sz w:val="36"/>
          <w:szCs w:val="36"/>
          <w:highlight w:val="none"/>
          <w:lang w:val="en-US" w:eastAsia="zh-CN"/>
        </w:rPr>
        <w:t>单位</w:t>
      </w:r>
      <w:r>
        <w:rPr>
          <w:rFonts w:hint="eastAsia" w:ascii="仿宋" w:hAnsi="仿宋" w:eastAsia="仿宋" w:cs="仿宋"/>
          <w:color w:val="000000"/>
          <w:sz w:val="36"/>
          <w:szCs w:val="36"/>
          <w:highlight w:val="none"/>
          <w:lang w:eastAsia="zh-CN"/>
        </w:rPr>
        <w:t>负责通过监控设施和不间断巡检对放射性同位素与射线装置的运行状态进行检查确认；负责对放射源周边环境进行监测；负责参与相关作业方案的编制及作业许可证的会签；组织对施工作业人员进行针对性的培训以及对现场措施的检查、确认；放射作业可能影响到的车间负责确认放射作业实施，告知本单位员工；对放射作业进行监督，发现作业单位没有执行安全规程应及时报告生产调度和主管部门及时进行处理。</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6.</w:t>
      </w:r>
      <w:r>
        <w:rPr>
          <w:rFonts w:hint="eastAsia" w:ascii="仿宋" w:hAnsi="仿宋" w:eastAsia="仿宋" w:cs="仿宋"/>
          <w:color w:val="000000"/>
          <w:sz w:val="36"/>
          <w:szCs w:val="36"/>
          <w:highlight w:val="none"/>
          <w:lang w:eastAsia="zh-CN"/>
        </w:rPr>
        <w:t>委托监理的，由监理单位按照监理程序进行现场监督检查，并在相关作业票证上签字确认履行监理职责。</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三、放射源巡检及监督管理要求</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1</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放射源的使用场所应有相应的辐射屏蔽，在放射源设备周围设置安全防护围栏，大检修期间由专人负责，不得随意拆除。</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2</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存放和使用放射源场所应当设置警示标志，附近不得放置易燃、易爆、腐蚀性物品。</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3</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放射源巡检人员应严格遵守各项安全操作规程和大检修总体方案，经常检查防护设施的性能，确保正常运行。</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4.</w:t>
      </w:r>
      <w:r>
        <w:rPr>
          <w:rFonts w:hint="eastAsia" w:ascii="仿宋" w:hAnsi="仿宋" w:eastAsia="仿宋" w:cs="仿宋"/>
          <w:color w:val="000000"/>
          <w:sz w:val="36"/>
          <w:szCs w:val="36"/>
          <w:highlight w:val="none"/>
          <w:lang w:eastAsia="zh-CN"/>
        </w:rPr>
        <w:t>放射源巡检人员和辐射管理人员上岗必须经过专业培训，并经考试合格后持证上岗，并经过大检修总体方案和</w:t>
      </w:r>
      <w:r>
        <w:rPr>
          <w:rFonts w:hint="eastAsia" w:ascii="仿宋" w:hAnsi="仿宋" w:eastAsia="仿宋" w:cs="仿宋"/>
          <w:color w:val="000000"/>
          <w:sz w:val="36"/>
          <w:szCs w:val="36"/>
          <w:highlight w:val="none"/>
          <w:lang w:val="en-US" w:eastAsia="zh-CN"/>
        </w:rPr>
        <w:t>HSE方案培训</w:t>
      </w:r>
      <w:r>
        <w:rPr>
          <w:rFonts w:hint="eastAsia" w:ascii="仿宋" w:hAnsi="仿宋" w:eastAsia="仿宋" w:cs="仿宋"/>
          <w:color w:val="000000"/>
          <w:sz w:val="36"/>
          <w:szCs w:val="36"/>
          <w:highlight w:val="none"/>
          <w:lang w:eastAsia="zh-CN"/>
        </w:rPr>
        <w:t>。</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5.</w:t>
      </w:r>
      <w:r>
        <w:rPr>
          <w:rFonts w:hint="eastAsia" w:ascii="仿宋" w:hAnsi="仿宋" w:eastAsia="仿宋" w:cs="仿宋"/>
          <w:color w:val="000000"/>
          <w:sz w:val="36"/>
          <w:szCs w:val="36"/>
          <w:highlight w:val="none"/>
          <w:lang w:eastAsia="zh-CN"/>
        </w:rPr>
        <w:t>放射源巡检人员上岗前必须进行健康检查。</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6.</w:t>
      </w:r>
      <w:r>
        <w:rPr>
          <w:rFonts w:hint="eastAsia" w:ascii="仿宋" w:hAnsi="仿宋" w:eastAsia="仿宋" w:cs="仿宋"/>
          <w:color w:val="000000"/>
          <w:sz w:val="36"/>
          <w:szCs w:val="36"/>
          <w:highlight w:val="none"/>
          <w:lang w:eastAsia="zh-CN"/>
        </w:rPr>
        <w:t>放射源巡检人员进入辐射区域时应佩戴个人剂量计。</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7.</w:t>
      </w:r>
      <w:r>
        <w:rPr>
          <w:rFonts w:hint="eastAsia" w:ascii="仿宋" w:hAnsi="仿宋" w:eastAsia="仿宋" w:cs="仿宋"/>
          <w:color w:val="000000"/>
          <w:sz w:val="36"/>
          <w:szCs w:val="36"/>
          <w:highlight w:val="none"/>
          <w:lang w:eastAsia="zh-CN"/>
        </w:rPr>
        <w:t>警告工作人员不要朝放射源小孔内探视，若必须进行观察，则采用镜子进行反射探视。</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8.</w:t>
      </w:r>
      <w:r>
        <w:rPr>
          <w:rFonts w:hint="eastAsia" w:ascii="仿宋" w:hAnsi="仿宋" w:eastAsia="仿宋" w:cs="仿宋"/>
          <w:color w:val="000000"/>
          <w:sz w:val="36"/>
          <w:szCs w:val="36"/>
          <w:highlight w:val="none"/>
          <w:lang w:eastAsia="zh-CN"/>
        </w:rPr>
        <w:t>非工作人员不得在放射源附近停留，确因工作需要由辐射专管人员采取适当厚度铅板对逸散射线进行封闭后，方可进行工作，防止受到意外照射。</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四、放射源维修操作要求</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1.</w:t>
      </w:r>
      <w:r>
        <w:rPr>
          <w:rFonts w:hint="eastAsia" w:ascii="仿宋" w:hAnsi="仿宋" w:eastAsia="仿宋" w:cs="仿宋"/>
          <w:color w:val="000000"/>
          <w:sz w:val="36"/>
          <w:szCs w:val="36"/>
          <w:highlight w:val="none"/>
          <w:lang w:eastAsia="zh-CN"/>
        </w:rPr>
        <w:t>含密封源的检修、更换放射源、停用等状态时，需由厂家专职维护人员进行维护、维修和拆卸，并设置辐射安全防护距离的隔离带。检修、更换结束后要按照有关要求对工作场所和放射源容器表面剂量进行监测。停用后，应使用X-γ剂量率仪对周围γ剂量率进行监测。</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2.</w:t>
      </w:r>
      <w:r>
        <w:rPr>
          <w:rFonts w:hint="eastAsia" w:ascii="仿宋" w:hAnsi="仿宋" w:eastAsia="仿宋" w:cs="仿宋"/>
          <w:color w:val="000000"/>
          <w:sz w:val="36"/>
          <w:szCs w:val="36"/>
          <w:highlight w:val="none"/>
          <w:lang w:eastAsia="zh-CN"/>
        </w:rPr>
        <w:t>放射源源容器源闸应在“开”、“关”状态分别锁定位置，并有明显的“开”、“关”状态指示。在安装含密封放射源和试生产前，要保证源容器源闸应在“关”状态并处于锁定状态。</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3</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对于不能解决的问题和事故，要及时与厂家供应商联系，以便于及时处理。</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4</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保证放射源及周边环境良好，保证环境通风、阴凉和干燥，保证其在正常工作。</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5</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放射源发生事故时，由专门人员进行处理，并做到一人操作，并有不少于一人进行监护。</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6</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处理事故时，首先要关闭放射源，并按要求进行作业。</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7</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事故处理完毕后，要做出总结，填写好相应的事故处理报告，并做出正确的分析。</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四、监督与考核</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监督安全员负责检查操作人员防护措施实施情况（如在工作场地是否穿防护服等）。负责安全文明生产的考核、监督工作，发现问题及时纠正正解决。负责组织相关人员进行健康检查。制定并做好辐射工作场所的监测工作。</w:t>
      </w:r>
    </w:p>
    <w:p>
      <w:pPr>
        <w:spacing w:line="360" w:lineRule="auto"/>
        <w:ind w:firstLine="720" w:firstLineChars="200"/>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eastAsia="zh-CN"/>
        </w:rPr>
        <w:t>大检修期间如有以下情形发生，则按照《呼和浩特石化公司专业考核实施细则》进行严肃考核：</w:t>
      </w:r>
      <w:r>
        <w:rPr>
          <w:rFonts w:hint="eastAsia" w:ascii="仿宋" w:hAnsi="仿宋" w:eastAsia="仿宋" w:cs="仿宋"/>
          <w:color w:val="000000"/>
          <w:sz w:val="36"/>
          <w:szCs w:val="36"/>
          <w:highlight w:val="none"/>
          <w:lang w:eastAsia="zh-CN"/>
        </w:rPr>
        <w:br w:type="textWrapping"/>
      </w:r>
      <w:r>
        <w:rPr>
          <w:rFonts w:hint="eastAsia" w:ascii="仿宋" w:hAnsi="仿宋" w:eastAsia="仿宋" w:cs="仿宋"/>
          <w:color w:val="000000"/>
          <w:sz w:val="36"/>
          <w:szCs w:val="36"/>
          <w:highlight w:val="none"/>
          <w:lang w:val="en-US" w:eastAsia="zh-CN"/>
        </w:rPr>
        <w:t xml:space="preserve">    1.随意拆除和破坏放射源周围防护设施；</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2.在放射源周围</w:t>
      </w:r>
      <w:r>
        <w:rPr>
          <w:rFonts w:hint="eastAsia" w:ascii="仿宋" w:hAnsi="仿宋" w:eastAsia="仿宋" w:cs="仿宋"/>
          <w:color w:val="000000"/>
          <w:sz w:val="36"/>
          <w:szCs w:val="36"/>
          <w:highlight w:val="none"/>
        </w:rPr>
        <w:t>存放</w:t>
      </w:r>
      <w:r>
        <w:rPr>
          <w:rFonts w:hint="eastAsia" w:ascii="仿宋" w:hAnsi="仿宋" w:eastAsia="仿宋" w:cs="仿宋"/>
          <w:color w:val="000000"/>
          <w:sz w:val="36"/>
          <w:szCs w:val="36"/>
          <w:highlight w:val="none"/>
          <w:lang w:eastAsia="zh-CN"/>
        </w:rPr>
        <w:t>和丢弃</w:t>
      </w:r>
      <w:r>
        <w:rPr>
          <w:rFonts w:hint="eastAsia" w:ascii="仿宋" w:hAnsi="仿宋" w:eastAsia="仿宋" w:cs="仿宋"/>
          <w:color w:val="000000"/>
          <w:sz w:val="36"/>
          <w:szCs w:val="36"/>
          <w:highlight w:val="none"/>
        </w:rPr>
        <w:t>易燃、易爆、腐蚀性物品</w:t>
      </w:r>
      <w:r>
        <w:rPr>
          <w:rFonts w:hint="eastAsia" w:ascii="仿宋" w:hAnsi="仿宋" w:eastAsia="仿宋" w:cs="仿宋"/>
          <w:color w:val="000000"/>
          <w:sz w:val="36"/>
          <w:szCs w:val="36"/>
          <w:highlight w:val="none"/>
          <w:lang w:eastAsia="zh-CN"/>
        </w:rPr>
        <w:t>；</w:t>
      </w:r>
    </w:p>
    <w:p>
      <w:pPr>
        <w:spacing w:line="360" w:lineRule="auto"/>
        <w:ind w:firstLine="720" w:firstLineChars="200"/>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val="en-US" w:eastAsia="zh-CN"/>
        </w:rPr>
        <w:t>3.破坏放射源警示标志；</w:t>
      </w:r>
    </w:p>
    <w:p>
      <w:pPr>
        <w:spacing w:line="360" w:lineRule="auto"/>
        <w:ind w:firstLine="720" w:firstLineChars="200"/>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val="en-US" w:eastAsia="zh-CN"/>
        </w:rPr>
        <w:t>4.无关人员随意进入源库周边50米范围防护区域；</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5.巡检及管理人员未发现或隐瞒不报</w:t>
      </w:r>
      <w:r>
        <w:rPr>
          <w:rFonts w:hint="eastAsia" w:ascii="仿宋" w:hAnsi="仿宋" w:eastAsia="仿宋" w:cs="仿宋"/>
          <w:color w:val="000000"/>
          <w:sz w:val="36"/>
          <w:szCs w:val="36"/>
          <w:highlight w:val="none"/>
        </w:rPr>
        <w:t>密封放射源破损</w:t>
      </w:r>
      <w:r>
        <w:rPr>
          <w:rFonts w:hint="eastAsia" w:ascii="仿宋" w:hAnsi="仿宋" w:eastAsia="仿宋" w:cs="仿宋"/>
          <w:color w:val="000000"/>
          <w:sz w:val="36"/>
          <w:szCs w:val="36"/>
          <w:highlight w:val="none"/>
          <w:lang w:eastAsia="zh-CN"/>
        </w:rPr>
        <w:t>；</w:t>
      </w:r>
    </w:p>
    <w:p>
      <w:pPr>
        <w:spacing w:line="360" w:lineRule="auto"/>
        <w:ind w:firstLine="720" w:firstLineChars="200"/>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val="en-US" w:eastAsia="zh-CN"/>
        </w:rPr>
        <w:t>6.未遵守《大检修总体方案》、《大检修HSE方案》、《大检修辐射安全管理制度》的其他相关条例。</w:t>
      </w:r>
    </w:p>
    <w:p>
      <w:pPr>
        <w:bidi w:val="0"/>
        <w:jc w:val="left"/>
        <w:rPr>
          <w:rFonts w:hint="eastAsia" w:ascii="仿宋" w:hAnsi="仿宋" w:eastAsia="仿宋" w:cs="仿宋"/>
          <w:kern w:val="2"/>
          <w:sz w:val="21"/>
          <w:szCs w:val="24"/>
          <w:highlight w:val="none"/>
          <w:lang w:val="en-US" w:eastAsia="zh-CN" w:bidi="ar-SA"/>
        </w:rPr>
      </w:pPr>
    </w:p>
    <w:sectPr>
      <w:pgSz w:w="11906" w:h="16838"/>
      <w:pgMar w:top="12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新魏">
    <w:altName w:val="宋体"/>
    <w:panose1 w:val="02010800040101010101"/>
    <w:charset w:val="86"/>
    <w:family w:val="auto"/>
    <w:pitch w:val="default"/>
    <w:sig w:usb0="00000000" w:usb1="0000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Arial Unicode MS">
    <w:altName w:val="宋体"/>
    <w:panose1 w:val="020B0604020202020204"/>
    <w:charset w:val="86"/>
    <w:family w:val="auto"/>
    <w:pitch w:val="default"/>
    <w:sig w:usb0="00000000" w:usb1="00000000" w:usb2="0000003F" w:usb3="00000000" w:csb0="603F01FF" w:csb1="FFFF0000"/>
  </w:font>
  <w:font w:name="方正小标宋简体">
    <w:panose1 w:val="02000000000000000000"/>
    <w:charset w:val="86"/>
    <w:family w:val="auto"/>
    <w:pitch w:val="default"/>
    <w:sig w:usb0="A00002BF" w:usb1="184F6CFA" w:usb2="00000012" w:usb3="00000000" w:csb0="00040001" w:csb1="00000000"/>
  </w:font>
  <w:font w:name="方正仿宋简体">
    <w:panose1 w:val="02000000000000000000"/>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t xml:space="preserve">第 </w:t>
                          </w:r>
                          <w:r>
                            <w:fldChar w:fldCharType="begin"/>
                          </w:r>
                          <w:r>
                            <w:instrText xml:space="preserve"> PAGE  \* MERGEFORMAT </w:instrText>
                          </w:r>
                          <w:r>
                            <w:fldChar w:fldCharType="separate"/>
                          </w:r>
                          <w:r>
                            <w:t>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73va8z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ngzpUQzhZJffny/&#10;/Hy4/PpG4iEkqq2fI3JnERuad6ZB+HDucRiZN4VT8QtOBH4IfL4KLJpAeLw0m8xmKVwcvmED/OTx&#10;unU+vBdGkWhk1KGCrbDstPWhCx1CYjZtNpWUbRWlJnVGp6/fpu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73va8zAgAAZQQAAA4AAAAAAAAAAQAgAAAAHwEAAGRycy9lMm9Eb2MueG1sUEsF&#10;BgAAAAAGAAYAWQEAAMQFAAAAAA==&#10;">
              <v:fill on="f" focussize="0,0"/>
              <v:stroke on="f" weight="0.5pt"/>
              <v:imagedata o:title=""/>
              <o:lock v:ext="edit" aspectratio="f"/>
              <v:textbox inset="0mm,0mm,0mm,0mm" style="mso-fit-shape-to-text:t;">
                <w:txbxContent>
                  <w:p>
                    <w:pPr>
                      <w:pStyle w:val="9"/>
                    </w:pPr>
                    <w:r>
                      <w:t xml:space="preserve">第 </w:t>
                    </w:r>
                    <w:r>
                      <w:fldChar w:fldCharType="begin"/>
                    </w:r>
                    <w:r>
                      <w:instrText xml:space="preserve"> PAGE  \* MERGEFORMAT </w:instrText>
                    </w:r>
                    <w:r>
                      <w:fldChar w:fldCharType="separate"/>
                    </w:r>
                    <w:r>
                      <w:t>3</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single" w:color="auto" w:sz="4" w:space="1"/>
      </w:pBdr>
      <w:jc w:val="center"/>
    </w:pPr>
    <w:r>
      <w:rPr>
        <w:rFonts w:hint="eastAsia"/>
        <w:sz w:val="24"/>
        <w:szCs w:val="40"/>
      </w:rPr>
      <w:t>中国石油天然气股份有限公司呼和浩特石化分公司放射源专项应急预案</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4"/>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hlZTAzYjljNGM2NzFlZDEyNmFmODVmMDNmYWVjM2EifQ=="/>
  </w:docVars>
  <w:rsids>
    <w:rsidRoot w:val="00000000"/>
    <w:rsid w:val="001570FF"/>
    <w:rsid w:val="00A6244D"/>
    <w:rsid w:val="01000791"/>
    <w:rsid w:val="020531A4"/>
    <w:rsid w:val="02E64D83"/>
    <w:rsid w:val="02F62B7C"/>
    <w:rsid w:val="056320AB"/>
    <w:rsid w:val="06514C09"/>
    <w:rsid w:val="06B93618"/>
    <w:rsid w:val="06BE7B0C"/>
    <w:rsid w:val="07E06245"/>
    <w:rsid w:val="09383E5F"/>
    <w:rsid w:val="097D1872"/>
    <w:rsid w:val="0A892BC4"/>
    <w:rsid w:val="0B0B182B"/>
    <w:rsid w:val="0B0E4E77"/>
    <w:rsid w:val="0D376426"/>
    <w:rsid w:val="0D5F5E5E"/>
    <w:rsid w:val="0DB73065"/>
    <w:rsid w:val="0EDB7766"/>
    <w:rsid w:val="0F5B4403"/>
    <w:rsid w:val="0F967646"/>
    <w:rsid w:val="106F63B8"/>
    <w:rsid w:val="110A4333"/>
    <w:rsid w:val="11665C55"/>
    <w:rsid w:val="123F1DBA"/>
    <w:rsid w:val="128A572B"/>
    <w:rsid w:val="12B10F0A"/>
    <w:rsid w:val="164B49DB"/>
    <w:rsid w:val="16D03334"/>
    <w:rsid w:val="17312619"/>
    <w:rsid w:val="17447D4E"/>
    <w:rsid w:val="17771AE3"/>
    <w:rsid w:val="17B60D70"/>
    <w:rsid w:val="18B74DA0"/>
    <w:rsid w:val="19B66880"/>
    <w:rsid w:val="1A3B555D"/>
    <w:rsid w:val="1A7E2385"/>
    <w:rsid w:val="1AC63078"/>
    <w:rsid w:val="1D4A4435"/>
    <w:rsid w:val="1DCC2688"/>
    <w:rsid w:val="1E88623C"/>
    <w:rsid w:val="1EC319FF"/>
    <w:rsid w:val="1EEC32CA"/>
    <w:rsid w:val="1F06438B"/>
    <w:rsid w:val="21EB5ABA"/>
    <w:rsid w:val="22B002B1"/>
    <w:rsid w:val="22F83FEB"/>
    <w:rsid w:val="23F6609A"/>
    <w:rsid w:val="242A750C"/>
    <w:rsid w:val="243F37F5"/>
    <w:rsid w:val="24E46F1D"/>
    <w:rsid w:val="262A59DA"/>
    <w:rsid w:val="28551EE0"/>
    <w:rsid w:val="28B90811"/>
    <w:rsid w:val="28F46C54"/>
    <w:rsid w:val="29503CF2"/>
    <w:rsid w:val="29F20066"/>
    <w:rsid w:val="2A165D99"/>
    <w:rsid w:val="2A71423D"/>
    <w:rsid w:val="2B7E174D"/>
    <w:rsid w:val="2B8E46B6"/>
    <w:rsid w:val="2C047EA4"/>
    <w:rsid w:val="2D1B54A6"/>
    <w:rsid w:val="2DE60AE0"/>
    <w:rsid w:val="2EC74E50"/>
    <w:rsid w:val="2EE95130"/>
    <w:rsid w:val="30077F63"/>
    <w:rsid w:val="30B66DFE"/>
    <w:rsid w:val="31215055"/>
    <w:rsid w:val="32700042"/>
    <w:rsid w:val="333077D1"/>
    <w:rsid w:val="33843679"/>
    <w:rsid w:val="338A5133"/>
    <w:rsid w:val="34E02B31"/>
    <w:rsid w:val="35B30245"/>
    <w:rsid w:val="36E66E69"/>
    <w:rsid w:val="37902B01"/>
    <w:rsid w:val="37971D86"/>
    <w:rsid w:val="37C85ADA"/>
    <w:rsid w:val="380D00E1"/>
    <w:rsid w:val="38C83236"/>
    <w:rsid w:val="38E2156D"/>
    <w:rsid w:val="394B3150"/>
    <w:rsid w:val="39AE76A2"/>
    <w:rsid w:val="3B4646F7"/>
    <w:rsid w:val="3C45368B"/>
    <w:rsid w:val="3C805325"/>
    <w:rsid w:val="3E5E6B71"/>
    <w:rsid w:val="3F0576DB"/>
    <w:rsid w:val="3F406FEE"/>
    <w:rsid w:val="3F47037C"/>
    <w:rsid w:val="3F6A406B"/>
    <w:rsid w:val="3F892743"/>
    <w:rsid w:val="40A23390"/>
    <w:rsid w:val="40BE4993"/>
    <w:rsid w:val="40C41559"/>
    <w:rsid w:val="42927B60"/>
    <w:rsid w:val="43C55D14"/>
    <w:rsid w:val="45386BD5"/>
    <w:rsid w:val="464876ED"/>
    <w:rsid w:val="47044DA5"/>
    <w:rsid w:val="47CB141F"/>
    <w:rsid w:val="49184B37"/>
    <w:rsid w:val="49C97851"/>
    <w:rsid w:val="4A077647"/>
    <w:rsid w:val="4B83273C"/>
    <w:rsid w:val="4CA23096"/>
    <w:rsid w:val="4CB608EF"/>
    <w:rsid w:val="4DBA440F"/>
    <w:rsid w:val="4F035942"/>
    <w:rsid w:val="504D156B"/>
    <w:rsid w:val="504D50C7"/>
    <w:rsid w:val="50970A38"/>
    <w:rsid w:val="51077174"/>
    <w:rsid w:val="52A64F62"/>
    <w:rsid w:val="5385101B"/>
    <w:rsid w:val="539C7BA8"/>
    <w:rsid w:val="53E03691"/>
    <w:rsid w:val="5539030F"/>
    <w:rsid w:val="560E354A"/>
    <w:rsid w:val="569021B1"/>
    <w:rsid w:val="5785783C"/>
    <w:rsid w:val="5812571A"/>
    <w:rsid w:val="593C6F3F"/>
    <w:rsid w:val="59404C8F"/>
    <w:rsid w:val="598D0C2A"/>
    <w:rsid w:val="5B641136"/>
    <w:rsid w:val="5B6648DA"/>
    <w:rsid w:val="5C1949F7"/>
    <w:rsid w:val="5C966047"/>
    <w:rsid w:val="5DDE4E66"/>
    <w:rsid w:val="5ECA3D86"/>
    <w:rsid w:val="5F133AFB"/>
    <w:rsid w:val="5F4F6A72"/>
    <w:rsid w:val="5F690019"/>
    <w:rsid w:val="5FB71738"/>
    <w:rsid w:val="60343BAD"/>
    <w:rsid w:val="60670401"/>
    <w:rsid w:val="60867978"/>
    <w:rsid w:val="617C3A5E"/>
    <w:rsid w:val="61DB4C28"/>
    <w:rsid w:val="61F77588"/>
    <w:rsid w:val="62593D9F"/>
    <w:rsid w:val="62890ED7"/>
    <w:rsid w:val="62B31701"/>
    <w:rsid w:val="630261E5"/>
    <w:rsid w:val="665F5999"/>
    <w:rsid w:val="667669AE"/>
    <w:rsid w:val="669B4986"/>
    <w:rsid w:val="67192E8F"/>
    <w:rsid w:val="673B3A73"/>
    <w:rsid w:val="67CB129B"/>
    <w:rsid w:val="67FA392E"/>
    <w:rsid w:val="68100DD7"/>
    <w:rsid w:val="681C1AF7"/>
    <w:rsid w:val="6885769C"/>
    <w:rsid w:val="69690D6B"/>
    <w:rsid w:val="696C260A"/>
    <w:rsid w:val="6A917BCF"/>
    <w:rsid w:val="6AC36259"/>
    <w:rsid w:val="6C0C1E82"/>
    <w:rsid w:val="6C7A6DEC"/>
    <w:rsid w:val="6C940F12"/>
    <w:rsid w:val="6D910891"/>
    <w:rsid w:val="6E5F273D"/>
    <w:rsid w:val="6E781A51"/>
    <w:rsid w:val="6F8653D2"/>
    <w:rsid w:val="71257C6E"/>
    <w:rsid w:val="719170B1"/>
    <w:rsid w:val="71CF3F9D"/>
    <w:rsid w:val="72FC6ECC"/>
    <w:rsid w:val="754E304D"/>
    <w:rsid w:val="762E7EA2"/>
    <w:rsid w:val="764A0F0B"/>
    <w:rsid w:val="79280303"/>
    <w:rsid w:val="794964C4"/>
    <w:rsid w:val="7B582284"/>
    <w:rsid w:val="7BC260B9"/>
    <w:rsid w:val="7C174657"/>
    <w:rsid w:val="7C7A50AC"/>
    <w:rsid w:val="7DC477E3"/>
    <w:rsid w:val="7DFF6865"/>
    <w:rsid w:val="7ED14F91"/>
    <w:rsid w:val="7EEB59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4">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5">
    <w:name w:val="heading 2"/>
    <w:basedOn w:val="1"/>
    <w:next w:val="1"/>
    <w:unhideWhenUsed/>
    <w:qFormat/>
    <w:uiPriority w:val="0"/>
    <w:pPr>
      <w:keepNext/>
      <w:keepLines/>
      <w:spacing w:before="260" w:beforeLines="0" w:after="260" w:afterLines="0" w:line="413" w:lineRule="auto"/>
      <w:outlineLvl w:val="1"/>
    </w:pPr>
    <w:rPr>
      <w:rFonts w:ascii="Arial" w:hAnsi="Arial" w:eastAsia="黑体"/>
      <w:b/>
      <w:bCs/>
      <w:sz w:val="32"/>
      <w:szCs w:val="32"/>
    </w:rPr>
  </w:style>
  <w:style w:type="paragraph" w:styleId="6">
    <w:name w:val="heading 3"/>
    <w:basedOn w:val="1"/>
    <w:next w:val="1"/>
    <w:unhideWhenUsed/>
    <w:qFormat/>
    <w:uiPriority w:val="0"/>
    <w:pPr>
      <w:keepNext/>
      <w:keepLines/>
      <w:spacing w:before="260" w:beforeLines="0" w:after="260" w:afterLines="0" w:line="413" w:lineRule="auto"/>
      <w:outlineLvl w:val="2"/>
    </w:pPr>
    <w:rPr>
      <w:b/>
      <w:bCs/>
      <w:sz w:val="32"/>
      <w:szCs w:val="32"/>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qFormat/>
    <w:uiPriority w:val="0"/>
    <w:pPr>
      <w:widowControl w:val="0"/>
      <w:spacing w:afterLines="0"/>
      <w:ind w:left="420" w:firstLine="420" w:firstLineChars="200"/>
      <w:jc w:val="both"/>
    </w:pPr>
    <w:rPr>
      <w:rFonts w:ascii="Times New Roman" w:hAnsi="Times New Roman" w:cs="Times New Roman"/>
      <w:sz w:val="20"/>
      <w:lang w:bidi="ar-SA"/>
    </w:rPr>
  </w:style>
  <w:style w:type="paragraph" w:styleId="3">
    <w:name w:val="Body Text Indent"/>
    <w:basedOn w:val="1"/>
    <w:next w:val="1"/>
    <w:qFormat/>
    <w:uiPriority w:val="0"/>
    <w:pPr>
      <w:spacing w:after="120" w:afterLines="0"/>
      <w:ind w:left="420" w:leftChars="200"/>
    </w:pPr>
  </w:style>
  <w:style w:type="paragraph" w:styleId="7">
    <w:name w:val="Normal Indent"/>
    <w:basedOn w:val="1"/>
    <w:qFormat/>
    <w:uiPriority w:val="0"/>
    <w:pPr>
      <w:adjustRightInd w:val="0"/>
      <w:snapToGrid w:val="0"/>
      <w:spacing w:line="300" w:lineRule="auto"/>
      <w:ind w:firstLine="200" w:firstLineChars="200"/>
    </w:pPr>
    <w:rPr>
      <w:rFonts w:ascii="华文新魏" w:eastAsia="华文新魏"/>
      <w:sz w:val="28"/>
    </w:rPr>
  </w:style>
  <w:style w:type="paragraph" w:styleId="8">
    <w:name w:val="endnote text"/>
    <w:basedOn w:val="1"/>
    <w:qFormat/>
    <w:uiPriority w:val="0"/>
    <w:pPr>
      <w:snapToGrid w:val="0"/>
      <w:jc w:val="left"/>
    </w:p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able of figures"/>
    <w:basedOn w:val="1"/>
    <w:next w:val="1"/>
    <w:semiHidden/>
    <w:qFormat/>
    <w:uiPriority w:val="0"/>
    <w:pPr>
      <w:ind w:leftChars="200" w:hanging="200" w:hangingChars="200"/>
    </w:pPr>
  </w:style>
  <w:style w:type="paragraph" w:styleId="13">
    <w:name w:val="toc 2"/>
    <w:basedOn w:val="1"/>
    <w:next w:val="1"/>
    <w:qFormat/>
    <w:uiPriority w:val="0"/>
    <w:pPr>
      <w:ind w:left="420" w:leftChars="200"/>
    </w:pPr>
  </w:style>
  <w:style w:type="paragraph" w:styleId="14">
    <w:name w:val="Normal (Web)"/>
    <w:basedOn w:val="1"/>
    <w:qFormat/>
    <w:uiPriority w:val="0"/>
    <w:pPr>
      <w:widowControl/>
      <w:spacing w:beforeAutospacing="1" w:afterAutospacing="1"/>
      <w:jc w:val="left"/>
    </w:pPr>
    <w:rPr>
      <w:rFonts w:ascii="宋体" w:hAnsi="宋体" w:cs="宋体"/>
      <w:color w:val="000000"/>
      <w:kern w:val="0"/>
      <w:sz w:val="24"/>
    </w:rPr>
  </w:style>
  <w:style w:type="table" w:styleId="16">
    <w:name w:val="Table Grid"/>
    <w:basedOn w:val="1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basedOn w:val="17"/>
    <w:qFormat/>
    <w:uiPriority w:val="0"/>
    <w:rPr>
      <w:b/>
    </w:rPr>
  </w:style>
  <w:style w:type="character" w:styleId="19">
    <w:name w:val="Hyperlink"/>
    <w:basedOn w:val="17"/>
    <w:qFormat/>
    <w:uiPriority w:val="0"/>
    <w:rPr>
      <w:color w:val="0000FF"/>
      <w:u w:val="single"/>
    </w:rPr>
  </w:style>
  <w:style w:type="paragraph" w:customStyle="1" w:styleId="20">
    <w:name w:val="表标题"/>
    <w:basedOn w:val="1"/>
    <w:next w:val="1"/>
    <w:qFormat/>
    <w:uiPriority w:val="0"/>
    <w:pPr>
      <w:spacing w:beforeLines="20" w:line="460" w:lineRule="exact"/>
      <w:ind w:left="0" w:firstLine="0" w:firstLineChars="0"/>
      <w:jc w:val="center"/>
    </w:pPr>
    <w:rPr>
      <w:rFonts w:eastAsia="黑体"/>
      <w:color w:val="000000"/>
      <w:sz w:val="24"/>
      <w:szCs w:val="21"/>
      <w:lang w:val="zh-CN"/>
    </w:rPr>
  </w:style>
  <w:style w:type="paragraph" w:customStyle="1" w:styleId="21">
    <w:name w:val="无间隔5"/>
    <w:basedOn w:val="1"/>
    <w:qFormat/>
    <w:uiPriority w:val="0"/>
    <w:pPr>
      <w:spacing w:line="240" w:lineRule="auto"/>
      <w:ind w:left="0" w:firstLine="0" w:firstLineChars="0"/>
      <w:jc w:val="center"/>
    </w:pPr>
    <w:rPr>
      <w:szCs w:val="21"/>
      <w:lang w:val="zh-CN"/>
    </w:rPr>
  </w:style>
  <w:style w:type="paragraph" w:customStyle="1" w:styleId="22">
    <w:name w:val="WPSOffice手动目录 1"/>
    <w:qFormat/>
    <w:uiPriority w:val="0"/>
    <w:pPr>
      <w:ind w:leftChars="0"/>
    </w:pPr>
    <w:rPr>
      <w:rFonts w:ascii="Times New Roman" w:hAnsi="Times New Roman" w:eastAsia="宋体" w:cs="Times New Roman"/>
      <w:sz w:val="20"/>
      <w:szCs w:val="20"/>
    </w:rPr>
  </w:style>
  <w:style w:type="paragraph" w:customStyle="1" w:styleId="23">
    <w:name w:val="WPSOffice手动目录 2"/>
    <w:qFormat/>
    <w:uiPriority w:val="0"/>
    <w:pPr>
      <w:ind w:leftChars="200"/>
    </w:pPr>
    <w:rPr>
      <w:rFonts w:ascii="Times New Roman" w:hAnsi="Times New Roman" w:eastAsia="宋体" w:cs="Times New Roman"/>
      <w:sz w:val="20"/>
      <w:szCs w:val="20"/>
    </w:rPr>
  </w:style>
  <w:style w:type="paragraph" w:customStyle="1" w:styleId="24">
    <w:name w:val="目次、标准名称标题"/>
    <w:next w:val="12"/>
    <w:qFormat/>
    <w:uiPriority w:val="0"/>
    <w:pPr>
      <w:shd w:val="clear" w:color="auto" w:fill="FFFFFF"/>
      <w:spacing w:before="640" w:after="560" w:line="460" w:lineRule="exact"/>
      <w:jc w:val="center"/>
      <w:outlineLvl w:val="0"/>
    </w:pPr>
    <w:rPr>
      <w:rFonts w:ascii="黑体" w:hAnsi="Times New Roman" w:eastAsia="黑体" w:cs="Times New Roman"/>
      <w:sz w:val="32"/>
      <w:lang w:val="en-US" w:eastAsia="zh-CN" w:bidi="ar-SA"/>
    </w:rPr>
  </w:style>
  <w:style w:type="paragraph" w:customStyle="1" w:styleId="25">
    <w:name w:val="p0"/>
    <w:basedOn w:val="1"/>
    <w:qFormat/>
    <w:uiPriority w:val="99"/>
    <w:pPr>
      <w:widowControl/>
    </w:pPr>
    <w:rPr>
      <w:kern w:val="0"/>
    </w:rPr>
  </w:style>
  <w:style w:type="paragraph" w:customStyle="1" w:styleId="26">
    <w:name w:val="正文01"/>
    <w:basedOn w:val="1"/>
    <w:qFormat/>
    <w:uiPriority w:val="0"/>
    <w:pPr>
      <w:spacing w:line="560" w:lineRule="exact"/>
      <w:ind w:firstLine="200" w:firstLineChars="200"/>
    </w:pPr>
    <w:rPr>
      <w:rFonts w:eastAsia="仿宋_GB2312"/>
      <w:color w:val="000000"/>
      <w:sz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png"/><Relationship Id="rId64" Type="http://schemas.openxmlformats.org/officeDocument/2006/relationships/fontTable" Target="fontTable.xml"/><Relationship Id="rId63" Type="http://schemas.openxmlformats.org/officeDocument/2006/relationships/customXml" Target="../customXml/item1.xml"/><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jpeg"/><Relationship Id="rId37" Type="http://schemas.openxmlformats.org/officeDocument/2006/relationships/image" Target="media/image32.pn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168</Pages>
  <Words>7141</Words>
  <Characters>9746</Characters>
  <Lines>0</Lines>
  <Paragraphs>0</Paragraphs>
  <TotalTime>1</TotalTime>
  <ScaleCrop>false</ScaleCrop>
  <LinksUpToDate>false</LinksUpToDate>
  <CharactersWithSpaces>10227</CharactersWithSpaces>
  <Application>WPS Office_11.8.2.12085_F1E327BC-269C-435d-A152-05C5408002CA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2024-08-14T00:56:00Z</dcterms:created>
  <dc:creator>Administrator</dc:creator>
  <cp:lastModifiedBy> </cp:lastModifiedBy>
  <dcterms:modified xsi:type="dcterms:W3CDTF">2026-03-05T07:58:19Z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2052-11.8.2.12085</vt:lpwstr>
  </property>
  <property fmtid="{D5CDD505-2E9C-101B-9397-08002B2CF9AE}" pid="3" name="ICV">
    <vt:lpwstr>54B4F6F5F62D44D883B95E2B203CFDAE</vt:lpwstr>
  </property>
</Properties>
</file>